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70" w:rsidRDefault="00BD51DF" w:rsidP="007102AF">
      <w:pPr>
        <w:pStyle w:val="Heading1"/>
        <w:rPr>
          <w:rFonts w:ascii="Times" w:hAnsi="Times"/>
          <w:sz w:val="24"/>
        </w:rPr>
      </w:pPr>
      <w:r>
        <w:rPr>
          <w:rFonts w:ascii="Times" w:hAnsi="Times"/>
          <w:sz w:val="24"/>
        </w:rPr>
        <w:t>Lack of Healthy Food</w:t>
      </w:r>
      <w:r w:rsidR="00531A8D">
        <w:rPr>
          <w:rFonts w:ascii="Times" w:hAnsi="Times"/>
          <w:sz w:val="24"/>
        </w:rPr>
        <w:t xml:space="preserve"> In th</w:t>
      </w:r>
      <w:r>
        <w:rPr>
          <w:rFonts w:ascii="Times" w:hAnsi="Times"/>
          <w:sz w:val="24"/>
        </w:rPr>
        <w:t>e Midst of Plenty: The Food Security Crisis</w:t>
      </w:r>
      <w:r w:rsidR="00531A8D">
        <w:rPr>
          <w:rFonts w:ascii="Times" w:hAnsi="Times"/>
          <w:sz w:val="24"/>
        </w:rPr>
        <w:t xml:space="preserve"> in Northern Manitoba.</w:t>
      </w:r>
    </w:p>
    <w:p w:rsidR="007A5A4B" w:rsidRPr="007102AF" w:rsidRDefault="007102AF" w:rsidP="007102AF">
      <w:pPr>
        <w:pStyle w:val="Heading1"/>
        <w:rPr>
          <w:rFonts w:ascii="Times" w:hAnsi="Times"/>
          <w:sz w:val="24"/>
        </w:rPr>
      </w:pPr>
      <w:r w:rsidRPr="007102AF">
        <w:rPr>
          <w:rFonts w:ascii="Times" w:hAnsi="Times"/>
          <w:sz w:val="24"/>
        </w:rPr>
        <w:t>Summary</w:t>
      </w:r>
      <w:bookmarkStart w:id="0" w:name="_GoBack"/>
      <w:bookmarkEnd w:id="0"/>
    </w:p>
    <w:p w:rsidR="00871D70" w:rsidRDefault="00D811F5" w:rsidP="007102AF">
      <w:pPr>
        <w:spacing w:after="0" w:line="240" w:lineRule="auto"/>
        <w:rPr>
          <w:rFonts w:ascii="Times" w:hAnsi="Times"/>
          <w:sz w:val="24"/>
        </w:rPr>
      </w:pPr>
      <w:r>
        <w:rPr>
          <w:rFonts w:ascii="Times" w:hAnsi="Times"/>
          <w:sz w:val="24"/>
        </w:rPr>
        <w:t>Is healthy food on the table</w:t>
      </w:r>
      <w:r w:rsidR="0005681A">
        <w:rPr>
          <w:rFonts w:ascii="Times" w:hAnsi="Times"/>
          <w:sz w:val="24"/>
        </w:rPr>
        <w:t xml:space="preserve"> in Northern Manitoba</w:t>
      </w:r>
      <w:r>
        <w:rPr>
          <w:rFonts w:ascii="Times" w:hAnsi="Times"/>
          <w:sz w:val="24"/>
        </w:rPr>
        <w:t xml:space="preserve">? </w:t>
      </w:r>
      <w:r w:rsidR="00EC6213">
        <w:rPr>
          <w:rFonts w:ascii="Times" w:hAnsi="Times"/>
          <w:sz w:val="24"/>
        </w:rPr>
        <w:t>No</w:t>
      </w:r>
      <w:r w:rsidR="00CE399F">
        <w:rPr>
          <w:rFonts w:ascii="Times" w:hAnsi="Times"/>
          <w:sz w:val="24"/>
        </w:rPr>
        <w:t xml:space="preserve">. Many households cannot afford to put </w:t>
      </w:r>
      <w:r w:rsidR="007102AF">
        <w:rPr>
          <w:rFonts w:ascii="Times" w:hAnsi="Times"/>
          <w:sz w:val="24"/>
        </w:rPr>
        <w:t xml:space="preserve">healthy food on the table. These households </w:t>
      </w:r>
      <w:r w:rsidR="00CE399F">
        <w:rPr>
          <w:rFonts w:ascii="Times" w:hAnsi="Times"/>
          <w:sz w:val="24"/>
        </w:rPr>
        <w:t>run out of food and money with children and adults going without food and depending on low quality food</w:t>
      </w:r>
      <w:r w:rsidR="00EC6213">
        <w:rPr>
          <w:rFonts w:ascii="Times" w:hAnsi="Times"/>
          <w:sz w:val="24"/>
        </w:rPr>
        <w:t xml:space="preserve">. </w:t>
      </w:r>
      <w:r w:rsidR="00871D70">
        <w:rPr>
          <w:rFonts w:ascii="Times" w:hAnsi="Times"/>
          <w:sz w:val="24"/>
        </w:rPr>
        <w:t>According to our</w:t>
      </w:r>
      <w:r>
        <w:rPr>
          <w:rFonts w:ascii="Times" w:hAnsi="Times"/>
          <w:sz w:val="24"/>
        </w:rPr>
        <w:t xml:space="preserve"> </w:t>
      </w:r>
      <w:r w:rsidR="00871D70">
        <w:rPr>
          <w:rFonts w:ascii="Times" w:hAnsi="Times"/>
          <w:sz w:val="24"/>
        </w:rPr>
        <w:t xml:space="preserve">2009 </w:t>
      </w:r>
      <w:r>
        <w:rPr>
          <w:rFonts w:ascii="Times" w:hAnsi="Times"/>
          <w:sz w:val="24"/>
        </w:rPr>
        <w:t xml:space="preserve">household food survey in 14 communities </w:t>
      </w:r>
      <w:r w:rsidR="00CE399F">
        <w:rPr>
          <w:rFonts w:ascii="Times" w:hAnsi="Times"/>
          <w:sz w:val="24"/>
        </w:rPr>
        <w:t>and 534 households t</w:t>
      </w:r>
      <w:r>
        <w:rPr>
          <w:rFonts w:ascii="Times" w:hAnsi="Times"/>
          <w:sz w:val="24"/>
        </w:rPr>
        <w:t>he rates</w:t>
      </w:r>
      <w:r w:rsidR="00EC6213">
        <w:rPr>
          <w:rFonts w:ascii="Times" w:hAnsi="Times"/>
          <w:sz w:val="24"/>
        </w:rPr>
        <w:t xml:space="preserve"> o</w:t>
      </w:r>
      <w:r w:rsidR="00CE399F">
        <w:rPr>
          <w:rFonts w:ascii="Times" w:hAnsi="Times"/>
          <w:sz w:val="24"/>
        </w:rPr>
        <w:t>f food insecurity are 75%</w:t>
      </w:r>
      <w:r w:rsidR="00EC6213">
        <w:rPr>
          <w:rFonts w:ascii="Times" w:hAnsi="Times"/>
          <w:sz w:val="24"/>
        </w:rPr>
        <w:t xml:space="preserve"> amongst n</w:t>
      </w:r>
      <w:r>
        <w:rPr>
          <w:rFonts w:ascii="Times" w:hAnsi="Times"/>
          <w:sz w:val="24"/>
        </w:rPr>
        <w:t xml:space="preserve">orthern </w:t>
      </w:r>
      <w:r w:rsidR="00EC6213">
        <w:rPr>
          <w:rFonts w:ascii="Times" w:hAnsi="Times"/>
          <w:sz w:val="24"/>
        </w:rPr>
        <w:t>hou</w:t>
      </w:r>
      <w:r w:rsidR="00CE399F">
        <w:rPr>
          <w:rFonts w:ascii="Times" w:hAnsi="Times"/>
          <w:sz w:val="24"/>
        </w:rPr>
        <w:t>seholds. This is eight</w:t>
      </w:r>
      <w:r w:rsidR="00EC6213">
        <w:rPr>
          <w:rFonts w:ascii="Times" w:hAnsi="Times"/>
          <w:sz w:val="24"/>
        </w:rPr>
        <w:t xml:space="preserve"> times the level across Canada. Clearly a food crisis is occurring </w:t>
      </w:r>
      <w:r w:rsidR="00871D70">
        <w:rPr>
          <w:rFonts w:ascii="Times" w:hAnsi="Times"/>
          <w:sz w:val="24"/>
        </w:rPr>
        <w:t>in Northern Manitoba that needs immediate attention of the public and policy-makers.</w:t>
      </w:r>
    </w:p>
    <w:p w:rsidR="00871D70" w:rsidRDefault="00871D70" w:rsidP="007102AF">
      <w:pPr>
        <w:spacing w:after="0" w:line="240" w:lineRule="auto"/>
        <w:rPr>
          <w:rFonts w:ascii="Times" w:hAnsi="Times"/>
          <w:sz w:val="24"/>
        </w:rPr>
      </w:pPr>
    </w:p>
    <w:p w:rsidR="00AF1A04" w:rsidRPr="00871D70" w:rsidRDefault="00AF1A04" w:rsidP="00AF1A04">
      <w:pPr>
        <w:spacing w:after="0" w:line="240" w:lineRule="auto"/>
        <w:rPr>
          <w:rFonts w:ascii="Times" w:hAnsi="Times"/>
          <w:b/>
          <w:color w:val="000000" w:themeColor="text1"/>
          <w:sz w:val="24"/>
          <w:szCs w:val="24"/>
        </w:rPr>
      </w:pPr>
      <w:r w:rsidRPr="00AF1A04">
        <w:rPr>
          <w:rFonts w:ascii="Times" w:hAnsi="Times"/>
          <w:b/>
          <w:color w:val="000000" w:themeColor="text1"/>
          <w:sz w:val="24"/>
          <w:szCs w:val="24"/>
        </w:rPr>
        <w:t>Introduction</w:t>
      </w:r>
      <w:r w:rsidR="007A5A4B">
        <w:rPr>
          <w:rFonts w:ascii="Times" w:hAnsi="Times"/>
          <w:color w:val="000000" w:themeColor="text1"/>
          <w:sz w:val="24"/>
          <w:szCs w:val="24"/>
        </w:rPr>
        <w:br/>
      </w:r>
      <w:r w:rsidR="007A5A4B" w:rsidRPr="00A8189D">
        <w:rPr>
          <w:rFonts w:ascii="Times" w:hAnsi="Times"/>
          <w:color w:val="000000" w:themeColor="text1"/>
          <w:sz w:val="24"/>
          <w:szCs w:val="24"/>
        </w:rPr>
        <w:t>Many families in Northern Manitoba lack access to affordable nutritious foods, particularly perishables such as fruits and vegetables. Problems associated with food access in re</w:t>
      </w:r>
      <w:r w:rsidR="00531A8D">
        <w:rPr>
          <w:rFonts w:ascii="Times" w:hAnsi="Times"/>
          <w:color w:val="000000" w:themeColor="text1"/>
          <w:sz w:val="24"/>
          <w:szCs w:val="24"/>
        </w:rPr>
        <w:t xml:space="preserve">mote communities </w:t>
      </w:r>
      <w:r w:rsidR="007A5A4B" w:rsidRPr="00A8189D">
        <w:rPr>
          <w:rFonts w:ascii="Times" w:hAnsi="Times"/>
          <w:color w:val="000000" w:themeColor="text1"/>
          <w:sz w:val="24"/>
          <w:szCs w:val="24"/>
        </w:rPr>
        <w:t>include limited food selections, high food prices, and poor qu</w:t>
      </w:r>
      <w:r w:rsidR="007A5A4B" w:rsidRPr="00871D70">
        <w:rPr>
          <w:rFonts w:ascii="Times" w:hAnsi="Times"/>
          <w:color w:val="000000" w:themeColor="text1"/>
          <w:sz w:val="24"/>
          <w:szCs w:val="24"/>
        </w:rPr>
        <w:t>ality of fresh produce. These in turn are linked to high transport costs and difficult logistics, [e.g. air freight charges, and uncertainty of travel on winter roads], high poverty rates</w:t>
      </w:r>
      <w:r w:rsidR="00BD51DF" w:rsidRPr="00871D70">
        <w:rPr>
          <w:rFonts w:ascii="Times" w:hAnsi="Times"/>
          <w:color w:val="000000" w:themeColor="text1"/>
          <w:sz w:val="24"/>
          <w:szCs w:val="24"/>
        </w:rPr>
        <w:t xml:space="preserve"> in northern communit</w:t>
      </w:r>
      <w:r w:rsidR="00531A8D" w:rsidRPr="00871D70">
        <w:rPr>
          <w:rFonts w:ascii="Times" w:hAnsi="Times"/>
          <w:color w:val="000000" w:themeColor="text1"/>
          <w:sz w:val="24"/>
          <w:szCs w:val="24"/>
        </w:rPr>
        <w:t>i</w:t>
      </w:r>
      <w:r w:rsidR="00BD51DF" w:rsidRPr="00871D70">
        <w:rPr>
          <w:rFonts w:ascii="Times" w:hAnsi="Times"/>
          <w:color w:val="000000" w:themeColor="text1"/>
          <w:sz w:val="24"/>
          <w:szCs w:val="24"/>
        </w:rPr>
        <w:t>e</w:t>
      </w:r>
      <w:r w:rsidR="00531A8D" w:rsidRPr="00871D70">
        <w:rPr>
          <w:rFonts w:ascii="Times" w:hAnsi="Times"/>
          <w:color w:val="000000" w:themeColor="text1"/>
          <w:sz w:val="24"/>
          <w:szCs w:val="24"/>
        </w:rPr>
        <w:t>s</w:t>
      </w:r>
      <w:r w:rsidR="007A5A4B" w:rsidRPr="00871D70">
        <w:rPr>
          <w:rFonts w:ascii="Times" w:hAnsi="Times"/>
          <w:color w:val="000000" w:themeColor="text1"/>
          <w:sz w:val="24"/>
          <w:szCs w:val="24"/>
        </w:rPr>
        <w:t>, and a continuing decline in the use of country foods (Northern Food Prices Steering Committee, 2003).</w:t>
      </w:r>
      <w:r w:rsidRPr="00871D70">
        <w:rPr>
          <w:rFonts w:ascii="Times" w:hAnsi="Times"/>
          <w:color w:val="000000" w:themeColor="text1"/>
          <w:sz w:val="24"/>
          <w:szCs w:val="24"/>
        </w:rPr>
        <w:t xml:space="preserve"> </w:t>
      </w:r>
      <w:r w:rsidRPr="00871D70">
        <w:rPr>
          <w:rFonts w:ascii="Times" w:hAnsi="Times"/>
          <w:sz w:val="24"/>
        </w:rPr>
        <w:t xml:space="preserve">From descriptive studies like the Northern Food Prices Report (2003) food insecurity rates were expected to be higher in the north – but how much higher was unknown as Health Canada did not research food security in First Nation reserves in studies that analyze every other community.  </w:t>
      </w:r>
      <w:r w:rsidR="007D5EF9" w:rsidRPr="00871D70">
        <w:rPr>
          <w:rFonts w:ascii="Times" w:hAnsi="Times"/>
          <w:sz w:val="24"/>
        </w:rPr>
        <w:t>This</w:t>
      </w:r>
      <w:r w:rsidRPr="00871D70">
        <w:rPr>
          <w:rFonts w:ascii="Times" w:hAnsi="Times"/>
          <w:sz w:val="24"/>
        </w:rPr>
        <w:t xml:space="preserve"> household food security survey carried out as part of this evaluation provides the first quantified data on food insecurity in northern Manitoba</w:t>
      </w:r>
      <w:r w:rsidR="007D5EF9" w:rsidRPr="00871D70">
        <w:rPr>
          <w:rFonts w:ascii="Times" w:hAnsi="Times"/>
          <w:sz w:val="24"/>
        </w:rPr>
        <w:t>’s First Nation Communities</w:t>
      </w:r>
      <w:r w:rsidRPr="00871D70">
        <w:rPr>
          <w:rFonts w:ascii="Times" w:hAnsi="Times"/>
          <w:sz w:val="24"/>
        </w:rPr>
        <w:t xml:space="preserve">. </w:t>
      </w:r>
    </w:p>
    <w:p w:rsidR="00871D70" w:rsidRDefault="00871D70" w:rsidP="00871D70">
      <w:pPr>
        <w:spacing w:after="0" w:line="240" w:lineRule="auto"/>
        <w:rPr>
          <w:rFonts w:ascii="Times" w:hAnsi="Times"/>
          <w:sz w:val="24"/>
          <w:szCs w:val="24"/>
        </w:rPr>
      </w:pPr>
    </w:p>
    <w:p w:rsidR="00871D70" w:rsidRPr="00871D70" w:rsidRDefault="00871D70" w:rsidP="00871D70">
      <w:pPr>
        <w:spacing w:after="0" w:line="240" w:lineRule="auto"/>
        <w:rPr>
          <w:rFonts w:ascii="Times" w:eastAsiaTheme="minorHAnsi" w:hAnsi="Times" w:cs="Verdana"/>
          <w:color w:val="000000" w:themeColor="text1"/>
          <w:sz w:val="24"/>
          <w:szCs w:val="26"/>
        </w:rPr>
      </w:pPr>
      <w:r w:rsidRPr="00871D70">
        <w:rPr>
          <w:rFonts w:ascii="Times" w:hAnsi="Times"/>
          <w:sz w:val="24"/>
          <w:szCs w:val="24"/>
        </w:rPr>
        <w:t xml:space="preserve">Food insecurity is </w:t>
      </w:r>
      <w:r w:rsidRPr="00871D70">
        <w:rPr>
          <w:rFonts w:ascii="Times" w:hAnsi="Times"/>
          <w:sz w:val="24"/>
        </w:rPr>
        <w:t>a consequence of inadequate access (or threats to adequate) healthy food in terms of quantity or quality: “Food security exists when all people, at all times, have physical and economic access to sufficient, safe and nutritious food that meets their dietary needs and food preferences for an active and healthy life”(World Food Summit, 1996, p. 1). Having access to nutritious affordable food is one of the conditions required to make healthy</w:t>
      </w:r>
      <w:r>
        <w:rPr>
          <w:rFonts w:ascii="Times" w:hAnsi="Times"/>
          <w:sz w:val="24"/>
        </w:rPr>
        <w:t xml:space="preserve"> choices possible but access to</w:t>
      </w:r>
      <w:r w:rsidRPr="00871D70">
        <w:rPr>
          <w:rFonts w:ascii="Times" w:hAnsi="Times"/>
          <w:sz w:val="24"/>
        </w:rPr>
        <w:t xml:space="preserve"> fresh fru</w:t>
      </w:r>
      <w:r>
        <w:rPr>
          <w:rFonts w:ascii="Times" w:hAnsi="Times"/>
          <w:sz w:val="24"/>
        </w:rPr>
        <w:t>it and vegetables can be compromised by high cost, lack of income and unavailability due to remote location</w:t>
      </w:r>
      <w:r w:rsidRPr="00871D70">
        <w:rPr>
          <w:rFonts w:ascii="Times" w:hAnsi="Times"/>
          <w:sz w:val="24"/>
        </w:rPr>
        <w:t>.</w:t>
      </w:r>
      <w:bookmarkStart w:id="1" w:name="_Toc117847052"/>
      <w:bookmarkStart w:id="2" w:name="_Toc117698964"/>
    </w:p>
    <w:p w:rsidR="00871D70" w:rsidRDefault="00871D70" w:rsidP="00871D70">
      <w:pPr>
        <w:spacing w:after="0" w:line="240" w:lineRule="auto"/>
        <w:rPr>
          <w:rFonts w:ascii="Times New Roman" w:eastAsiaTheme="minorHAnsi" w:hAnsi="Times New Roman" w:cs="Verdana"/>
          <w:color w:val="000000" w:themeColor="text1"/>
          <w:sz w:val="24"/>
          <w:szCs w:val="26"/>
        </w:rPr>
      </w:pPr>
    </w:p>
    <w:p w:rsidR="007A5A4B" w:rsidRPr="00871D70" w:rsidRDefault="007102AF" w:rsidP="00871D70">
      <w:pPr>
        <w:spacing w:after="0" w:line="240" w:lineRule="auto"/>
        <w:rPr>
          <w:rFonts w:ascii="Times" w:hAnsi="Times"/>
          <w:b/>
        </w:rPr>
      </w:pPr>
      <w:r w:rsidRPr="00871D70">
        <w:rPr>
          <w:rFonts w:ascii="Times" w:hAnsi="Times"/>
          <w:b/>
          <w:szCs w:val="32"/>
        </w:rPr>
        <w:t>M</w:t>
      </w:r>
      <w:r w:rsidR="007A5A4B" w:rsidRPr="00871D70">
        <w:rPr>
          <w:rFonts w:ascii="Times" w:hAnsi="Times"/>
          <w:b/>
        </w:rPr>
        <w:t>ethods</w:t>
      </w:r>
      <w:bookmarkEnd w:id="1"/>
      <w:bookmarkEnd w:id="2"/>
    </w:p>
    <w:p w:rsidR="007102AF" w:rsidRPr="007B66EF" w:rsidRDefault="006B0E56" w:rsidP="007102AF">
      <w:pPr>
        <w:spacing w:after="0" w:line="240" w:lineRule="auto"/>
        <w:rPr>
          <w:rFonts w:ascii="Times New Roman" w:hAnsi="Times New Roman"/>
          <w:sz w:val="24"/>
          <w:szCs w:val="32"/>
        </w:rPr>
      </w:pPr>
      <w:r w:rsidRPr="007102AF">
        <w:rPr>
          <w:rFonts w:ascii="Times New Roman" w:hAnsi="Times New Roman"/>
          <w:sz w:val="24"/>
          <w:szCs w:val="32"/>
        </w:rPr>
        <w:t xml:space="preserve">A standardized measurement tool was used, applying the version that was adapted for Canada (Health Canada, 2007, pp. 45-49). </w:t>
      </w:r>
      <w:r w:rsidR="007743C5" w:rsidRPr="007102AF">
        <w:rPr>
          <w:rFonts w:ascii="Times" w:eastAsiaTheme="minorHAnsi" w:hAnsi="Times" w:cs="Arial"/>
          <w:sz w:val="24"/>
          <w:szCs w:val="26"/>
        </w:rPr>
        <w:t>A survey of 534 households in northern Manitoba was undertaken in the summer of 2009 in 14 communities. In most of t</w:t>
      </w:r>
      <w:r w:rsidR="00531A8D">
        <w:rPr>
          <w:rFonts w:ascii="Times" w:eastAsiaTheme="minorHAnsi" w:hAnsi="Times" w:cs="Arial"/>
          <w:sz w:val="24"/>
          <w:szCs w:val="26"/>
        </w:rPr>
        <w:t xml:space="preserve">hese 14 communities </w:t>
      </w:r>
      <w:r w:rsidR="007743C5" w:rsidRPr="007102AF">
        <w:rPr>
          <w:rFonts w:ascii="Times" w:eastAsiaTheme="minorHAnsi" w:hAnsi="Times" w:cs="Arial"/>
          <w:sz w:val="24"/>
          <w:szCs w:val="26"/>
        </w:rPr>
        <w:t>approximately 50 households</w:t>
      </w:r>
      <w:r w:rsidR="00531A8D">
        <w:rPr>
          <w:rFonts w:ascii="Times" w:eastAsiaTheme="minorHAnsi" w:hAnsi="Times" w:cs="Arial"/>
          <w:sz w:val="24"/>
          <w:szCs w:val="26"/>
        </w:rPr>
        <w:t xml:space="preserve"> were surveyed</w:t>
      </w:r>
      <w:r w:rsidR="007743C5" w:rsidRPr="007102AF">
        <w:rPr>
          <w:rFonts w:ascii="Times" w:eastAsiaTheme="minorHAnsi" w:hAnsi="Times" w:cs="Arial"/>
          <w:sz w:val="24"/>
          <w:szCs w:val="26"/>
        </w:rPr>
        <w:t>, with the population limiting the number to les</w:t>
      </w:r>
      <w:r w:rsidR="007B66EF">
        <w:rPr>
          <w:rFonts w:ascii="Times" w:eastAsiaTheme="minorHAnsi" w:hAnsi="Times" w:cs="Arial"/>
          <w:sz w:val="24"/>
          <w:szCs w:val="26"/>
        </w:rPr>
        <w:t>s in a few communities. In very</w:t>
      </w:r>
      <w:r w:rsidR="007743C5" w:rsidRPr="007102AF">
        <w:rPr>
          <w:rFonts w:ascii="Times" w:eastAsiaTheme="minorHAnsi" w:hAnsi="Times" w:cs="Arial"/>
          <w:sz w:val="24"/>
          <w:szCs w:val="26"/>
        </w:rPr>
        <w:t xml:space="preserve"> small communities a census rather than a sample</w:t>
      </w:r>
      <w:r w:rsidR="00BD51DF">
        <w:rPr>
          <w:rFonts w:ascii="Times" w:eastAsiaTheme="minorHAnsi" w:hAnsi="Times" w:cs="Arial"/>
          <w:sz w:val="24"/>
          <w:szCs w:val="26"/>
        </w:rPr>
        <w:t xml:space="preserve"> was cond</w:t>
      </w:r>
      <w:r w:rsidR="007B66EF">
        <w:rPr>
          <w:rFonts w:ascii="Times" w:eastAsiaTheme="minorHAnsi" w:hAnsi="Times" w:cs="Arial"/>
          <w:sz w:val="24"/>
          <w:szCs w:val="26"/>
        </w:rPr>
        <w:t>u</w:t>
      </w:r>
      <w:r w:rsidR="00BD51DF">
        <w:rPr>
          <w:rFonts w:ascii="Times" w:eastAsiaTheme="minorHAnsi" w:hAnsi="Times" w:cs="Arial"/>
          <w:sz w:val="24"/>
          <w:szCs w:val="26"/>
        </w:rPr>
        <w:t>c</w:t>
      </w:r>
      <w:r w:rsidR="007B66EF">
        <w:rPr>
          <w:rFonts w:ascii="Times" w:eastAsiaTheme="minorHAnsi" w:hAnsi="Times" w:cs="Arial"/>
          <w:sz w:val="24"/>
          <w:szCs w:val="26"/>
        </w:rPr>
        <w:t>ted</w:t>
      </w:r>
      <w:r w:rsidR="007743C5" w:rsidRPr="007102AF">
        <w:rPr>
          <w:rFonts w:ascii="Times" w:eastAsiaTheme="minorHAnsi" w:hAnsi="Times" w:cs="Arial"/>
          <w:sz w:val="24"/>
          <w:szCs w:val="26"/>
        </w:rPr>
        <w:t xml:space="preserve">. For example, every household in Granville Lake, </w:t>
      </w:r>
      <w:proofErr w:type="spellStart"/>
      <w:r w:rsidR="007743C5" w:rsidRPr="007102AF">
        <w:rPr>
          <w:rFonts w:ascii="Times" w:eastAsiaTheme="minorHAnsi" w:hAnsi="Times" w:cs="Arial"/>
          <w:sz w:val="24"/>
          <w:szCs w:val="26"/>
        </w:rPr>
        <w:t>Ilford</w:t>
      </w:r>
      <w:proofErr w:type="spellEnd"/>
      <w:r w:rsidR="007743C5" w:rsidRPr="007102AF">
        <w:rPr>
          <w:rFonts w:ascii="Times" w:eastAsiaTheme="minorHAnsi" w:hAnsi="Times" w:cs="Arial"/>
          <w:sz w:val="24"/>
          <w:szCs w:val="26"/>
        </w:rPr>
        <w:t>, Thicket Portage and War Lake was surveyed.  However,</w:t>
      </w:r>
      <w:r w:rsidR="00BD51DF">
        <w:rPr>
          <w:rFonts w:ascii="Times" w:eastAsiaTheme="minorHAnsi" w:hAnsi="Times" w:cs="Arial"/>
          <w:sz w:val="24"/>
          <w:szCs w:val="26"/>
        </w:rPr>
        <w:t xml:space="preserve"> please note that for </w:t>
      </w:r>
      <w:proofErr w:type="spellStart"/>
      <w:r w:rsidR="00BD51DF">
        <w:rPr>
          <w:rFonts w:ascii="Times" w:eastAsiaTheme="minorHAnsi" w:hAnsi="Times" w:cs="Arial"/>
          <w:sz w:val="24"/>
          <w:szCs w:val="26"/>
        </w:rPr>
        <w:t>Wasagamack</w:t>
      </w:r>
      <w:proofErr w:type="spellEnd"/>
      <w:r w:rsidR="007743C5" w:rsidRPr="007102AF">
        <w:rPr>
          <w:rFonts w:ascii="Times" w:eastAsiaTheme="minorHAnsi" w:hAnsi="Times" w:cs="Arial"/>
          <w:sz w:val="24"/>
          <w:szCs w:val="26"/>
        </w:rPr>
        <w:t xml:space="preserve"> the sample is small unrelated to the population size and caution should be taken in interpreting the results for this community. The survey was analyzed using excel and </w:t>
      </w:r>
      <w:r w:rsidR="007743C5" w:rsidRPr="007102AF">
        <w:rPr>
          <w:rFonts w:ascii="Times" w:eastAsiaTheme="minorHAnsi" w:hAnsi="Times" w:cs="Arial"/>
          <w:sz w:val="24"/>
          <w:szCs w:val="26"/>
        </w:rPr>
        <w:lastRenderedPageBreak/>
        <w:t xml:space="preserve">SPSS </w:t>
      </w:r>
      <w:r w:rsidR="007B66EF">
        <w:rPr>
          <w:rFonts w:ascii="Times" w:eastAsiaTheme="minorHAnsi" w:hAnsi="Times" w:cs="Arial"/>
          <w:sz w:val="24"/>
          <w:szCs w:val="26"/>
        </w:rPr>
        <w:t>as outlined by Health Canada</w:t>
      </w:r>
      <w:r w:rsidR="00BD51DF">
        <w:rPr>
          <w:rFonts w:ascii="Times" w:eastAsiaTheme="minorHAnsi" w:hAnsi="Times" w:cs="Arial"/>
          <w:sz w:val="24"/>
          <w:szCs w:val="26"/>
        </w:rPr>
        <w:t xml:space="preserve"> </w:t>
      </w:r>
      <w:r w:rsidR="007743C5" w:rsidRPr="007102AF">
        <w:rPr>
          <w:rFonts w:ascii="Times" w:eastAsiaTheme="minorHAnsi" w:hAnsi="Times" w:cs="Arial"/>
          <w:sz w:val="24"/>
          <w:szCs w:val="26"/>
        </w:rPr>
        <w:t xml:space="preserve">for: 1) children in households for the eight child-referenced items; and 2) for adults in households for each of the ten adult-referenced items. </w:t>
      </w:r>
      <w:r w:rsidR="00F31D7C">
        <w:rPr>
          <w:rFonts w:ascii="Times New Roman" w:hAnsi="Times New Roman" w:cs="Times"/>
          <w:sz w:val="24"/>
        </w:rPr>
        <w:t xml:space="preserve">The more times an affirmative response was made the greater the degree of food insecurity. </w:t>
      </w:r>
      <w:r w:rsidR="00117F75">
        <w:rPr>
          <w:rFonts w:ascii="Times New Roman" w:hAnsi="Times New Roman"/>
          <w:sz w:val="24"/>
          <w:szCs w:val="32"/>
        </w:rPr>
        <w:t xml:space="preserve"> </w:t>
      </w:r>
      <w:r w:rsidR="00F31D7C">
        <w:rPr>
          <w:rFonts w:ascii="Times New Roman" w:hAnsi="Times New Roman"/>
          <w:sz w:val="24"/>
          <w:szCs w:val="32"/>
        </w:rPr>
        <w:t xml:space="preserve">In households considered moderately food insecure there are compromises in quality and/or quantity of food consumed. Households that are considered severely food insecure have reduced food intake and disrupted food patterns. </w:t>
      </w:r>
    </w:p>
    <w:p w:rsidR="007102AF" w:rsidRDefault="007102AF" w:rsidP="007102AF">
      <w:pPr>
        <w:spacing w:after="0" w:line="240" w:lineRule="auto"/>
        <w:rPr>
          <w:rFonts w:ascii="Times New Roman" w:eastAsiaTheme="majorEastAsia" w:hAnsi="Times New Roman" w:cstheme="majorBidi"/>
          <w:b/>
          <w:bCs/>
          <w:color w:val="000000" w:themeColor="text1"/>
          <w:sz w:val="24"/>
        </w:rPr>
      </w:pPr>
    </w:p>
    <w:p w:rsidR="007102AF" w:rsidRDefault="007102AF" w:rsidP="007102AF">
      <w:pPr>
        <w:spacing w:after="0" w:line="240" w:lineRule="auto"/>
        <w:rPr>
          <w:rFonts w:ascii="Times New Roman" w:eastAsiaTheme="majorEastAsia" w:hAnsi="Times New Roman" w:cstheme="majorBidi"/>
          <w:b/>
          <w:bCs/>
          <w:color w:val="000000" w:themeColor="text1"/>
          <w:sz w:val="24"/>
        </w:rPr>
      </w:pPr>
      <w:r>
        <w:rPr>
          <w:rFonts w:ascii="Times New Roman" w:eastAsiaTheme="majorEastAsia" w:hAnsi="Times New Roman" w:cstheme="majorBidi"/>
          <w:b/>
          <w:bCs/>
          <w:color w:val="000000" w:themeColor="text1"/>
          <w:sz w:val="24"/>
        </w:rPr>
        <w:t>Findings</w:t>
      </w:r>
    </w:p>
    <w:p w:rsidR="007A5A4B" w:rsidRDefault="007A5A4B" w:rsidP="007102AF">
      <w:pPr>
        <w:spacing w:after="0" w:line="240" w:lineRule="auto"/>
        <w:rPr>
          <w:rFonts w:ascii="Times New Roman" w:hAnsi="Times New Roman"/>
          <w:sz w:val="24"/>
        </w:rPr>
      </w:pPr>
      <w:r w:rsidRPr="009B4B95">
        <w:rPr>
          <w:rFonts w:ascii="Times New Roman" w:hAnsi="Times New Roman"/>
          <w:sz w:val="24"/>
        </w:rPr>
        <w:t xml:space="preserve">Across northern Manitoba, food insecurity affected the majority of households. </w:t>
      </w:r>
      <w:r>
        <w:rPr>
          <w:rFonts w:ascii="Times New Roman" w:hAnsi="Times New Roman"/>
          <w:sz w:val="24"/>
        </w:rPr>
        <w:t xml:space="preserve"> </w:t>
      </w:r>
      <w:r w:rsidRPr="009B4B95">
        <w:rPr>
          <w:rFonts w:ascii="Times New Roman" w:hAnsi="Times New Roman"/>
          <w:sz w:val="24"/>
        </w:rPr>
        <w:t>Three-quarters of all households experienced food insecurity (n=534, 42% moderate and 33% severe</w:t>
      </w:r>
      <w:r>
        <w:rPr>
          <w:rFonts w:ascii="Times New Roman" w:hAnsi="Times New Roman"/>
          <w:sz w:val="24"/>
        </w:rPr>
        <w:t xml:space="preserve"> equals </w:t>
      </w:r>
      <w:r w:rsidRPr="009B4B95">
        <w:rPr>
          <w:rFonts w:ascii="Times New Roman" w:hAnsi="Times New Roman"/>
          <w:sz w:val="24"/>
        </w:rPr>
        <w:t>75%</w:t>
      </w:r>
      <w:r w:rsidR="00414B4C">
        <w:rPr>
          <w:rFonts w:ascii="Times New Roman" w:hAnsi="Times New Roman"/>
          <w:sz w:val="24"/>
        </w:rPr>
        <w:t xml:space="preserve"> total) (Figure 1</w:t>
      </w:r>
      <w:r>
        <w:rPr>
          <w:rFonts w:ascii="Times New Roman" w:hAnsi="Times New Roman"/>
          <w:sz w:val="24"/>
        </w:rPr>
        <w:t>.1) and two-thirds of</w:t>
      </w:r>
      <w:r w:rsidRPr="009B4B95">
        <w:rPr>
          <w:rFonts w:ascii="Times New Roman" w:hAnsi="Times New Roman"/>
          <w:sz w:val="24"/>
        </w:rPr>
        <w:t xml:space="preserve"> households with children experienced food insecurity (n=463, 33% moderate and 24% severe</w:t>
      </w:r>
      <w:r>
        <w:rPr>
          <w:rFonts w:ascii="Times New Roman" w:hAnsi="Times New Roman"/>
          <w:sz w:val="24"/>
        </w:rPr>
        <w:t xml:space="preserve"> equals </w:t>
      </w:r>
      <w:r w:rsidR="00414B4C">
        <w:rPr>
          <w:rFonts w:ascii="Times New Roman" w:hAnsi="Times New Roman"/>
          <w:sz w:val="24"/>
        </w:rPr>
        <w:t>57% total) (Figure 1</w:t>
      </w:r>
      <w:r w:rsidRPr="009B4B95">
        <w:rPr>
          <w:rFonts w:ascii="Times New Roman" w:hAnsi="Times New Roman"/>
          <w:sz w:val="24"/>
        </w:rPr>
        <w:t xml:space="preserve">.2). </w:t>
      </w:r>
      <w:r>
        <w:rPr>
          <w:rFonts w:ascii="Times New Roman" w:hAnsi="Times New Roman"/>
          <w:sz w:val="24"/>
        </w:rPr>
        <w:t xml:space="preserve"> </w:t>
      </w:r>
      <w:r w:rsidRPr="009B4B95">
        <w:rPr>
          <w:rFonts w:ascii="Times New Roman" w:hAnsi="Times New Roman"/>
          <w:sz w:val="24"/>
        </w:rPr>
        <w:t>The</w:t>
      </w:r>
      <w:r>
        <w:rPr>
          <w:rFonts w:ascii="Times New Roman" w:hAnsi="Times New Roman"/>
          <w:sz w:val="24"/>
        </w:rPr>
        <w:t xml:space="preserve"> 95% confidence intervals show these percentages may vary by 2%.  All households had greater moderate and severe food insecurity than households with children and it appears that h</w:t>
      </w:r>
      <w:r w:rsidRPr="009B3F03">
        <w:rPr>
          <w:rFonts w:ascii="Times New Roman" w:hAnsi="Times New Roman"/>
          <w:sz w:val="24"/>
        </w:rPr>
        <w:t xml:space="preserve">ouseholds with moderate food insecurity </w:t>
      </w:r>
      <w:r>
        <w:rPr>
          <w:rFonts w:ascii="Times New Roman" w:hAnsi="Times New Roman"/>
          <w:sz w:val="24"/>
        </w:rPr>
        <w:t xml:space="preserve">are </w:t>
      </w:r>
      <w:r w:rsidRPr="009B3F03">
        <w:rPr>
          <w:rFonts w:ascii="Times New Roman" w:hAnsi="Times New Roman"/>
          <w:sz w:val="24"/>
        </w:rPr>
        <w:t>better able to privilege children’s eating needs than households with severe food insecurity.</w:t>
      </w:r>
    </w:p>
    <w:p w:rsidR="007A5A4B" w:rsidRPr="009B4B95" w:rsidRDefault="007A5A4B" w:rsidP="007A5A4B">
      <w:pPr>
        <w:spacing w:after="0" w:line="240" w:lineRule="auto"/>
        <w:rPr>
          <w:color w:val="000000" w:themeColor="text1"/>
        </w:rPr>
      </w:pPr>
    </w:p>
    <w:p w:rsidR="00CB024F" w:rsidRDefault="007102AF" w:rsidP="007A5A4B">
      <w:pPr>
        <w:rPr>
          <w:rFonts w:ascii="Times New Roman" w:hAnsi="Times New Roman"/>
          <w:sz w:val="24"/>
        </w:rPr>
      </w:pPr>
      <w:r>
        <w:rPr>
          <w:rFonts w:ascii="Times New Roman" w:hAnsi="Times New Roman"/>
          <w:sz w:val="24"/>
        </w:rPr>
        <w:t>Figure 1</w:t>
      </w:r>
      <w:r w:rsidR="00DB0D0F">
        <w:rPr>
          <w:rFonts w:ascii="Times New Roman" w:hAnsi="Times New Roman"/>
          <w:sz w:val="24"/>
        </w:rPr>
        <w:t xml:space="preserve">.1. </w:t>
      </w:r>
      <w:r w:rsidR="007A5A4B">
        <w:rPr>
          <w:rFonts w:ascii="Times New Roman" w:hAnsi="Times New Roman"/>
          <w:sz w:val="24"/>
        </w:rPr>
        <w:t xml:space="preserve"> </w:t>
      </w:r>
      <w:proofErr w:type="gramStart"/>
      <w:r w:rsidR="007A5A4B">
        <w:rPr>
          <w:rFonts w:ascii="Times New Roman" w:hAnsi="Times New Roman"/>
          <w:sz w:val="24"/>
        </w:rPr>
        <w:t>Household food security in Northern Manitoba.*</w:t>
      </w:r>
      <w:r w:rsidR="007A5A4B">
        <w:rPr>
          <w:noProof/>
          <w:szCs w:val="24"/>
        </w:rPr>
        <w:br/>
      </w:r>
      <w:r w:rsidR="007A5A4B" w:rsidRPr="00503208">
        <w:rPr>
          <w:noProof/>
          <w:lang w:eastAsia="zh-TW"/>
        </w:rPr>
        <w:drawing>
          <wp:inline distT="0" distB="0" distL="0" distR="0">
            <wp:extent cx="2895238" cy="1638095"/>
            <wp:effectExtent l="25400" t="0" r="362" b="0"/>
            <wp:docPr id="1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2895238" cy="1638095"/>
                    </a:xfrm>
                    <a:prstGeom prst="rect">
                      <a:avLst/>
                    </a:prstGeom>
                    <a:noFill/>
                    <a:ln w="9525">
                      <a:noFill/>
                      <a:miter lim="800000"/>
                      <a:headEnd/>
                      <a:tailEnd/>
                    </a:ln>
                  </pic:spPr>
                </pic:pic>
              </a:graphicData>
            </a:graphic>
          </wp:inline>
        </w:drawing>
      </w:r>
      <w:r w:rsidR="007A5A4B">
        <w:rPr>
          <w:rFonts w:ascii="Times New Roman" w:hAnsi="Times New Roman"/>
          <w:sz w:val="24"/>
        </w:rPr>
        <w:br/>
        <w:t>*</w:t>
      </w:r>
      <w:r w:rsidR="007A5A4B" w:rsidRPr="00FE3831">
        <w:rPr>
          <w:rFonts w:ascii="Times New Roman" w:hAnsi="Times New Roman"/>
          <w:sz w:val="24"/>
        </w:rPr>
        <w:t xml:space="preserve">Percent (weighted by sample size) of households in Northern Manitoba that experienced food security (black), moderate food insecurity (grey) and severe food insecurity (white) </w:t>
      </w:r>
      <w:r w:rsidR="007A5A4B">
        <w:rPr>
          <w:rFonts w:ascii="Times New Roman" w:hAnsi="Times New Roman"/>
          <w:sz w:val="24"/>
        </w:rPr>
        <w:t>(95% confidence).</w:t>
      </w:r>
      <w:proofErr w:type="gramEnd"/>
      <w:r w:rsidR="007A5A4B">
        <w:rPr>
          <w:rFonts w:ascii="Times New Roman" w:hAnsi="Times New Roman"/>
          <w:sz w:val="24"/>
        </w:rPr>
        <w:t xml:space="preserve">  Food secure means both adult- and child-related questions indicated food security.  Moderate food insecurity means either or both adult- and child-related questions indicated moderate food insecurity and neither indicated severe food insecurity.  Severe food insecurity means either or both adult- and child-related questions indicated s</w:t>
      </w:r>
      <w:r>
        <w:rPr>
          <w:rFonts w:ascii="Times New Roman" w:hAnsi="Times New Roman"/>
          <w:sz w:val="24"/>
        </w:rPr>
        <w:t>evere food insecurity.</w:t>
      </w:r>
      <w:r>
        <w:rPr>
          <w:rFonts w:ascii="Times New Roman" w:hAnsi="Times New Roman"/>
          <w:sz w:val="24"/>
        </w:rPr>
        <w:br/>
      </w:r>
      <w:r>
        <w:rPr>
          <w:rFonts w:ascii="Times New Roman" w:hAnsi="Times New Roman"/>
          <w:sz w:val="24"/>
        </w:rPr>
        <w:br/>
        <w:t>Figure 1</w:t>
      </w:r>
      <w:r w:rsidR="007A5A4B">
        <w:rPr>
          <w:rFonts w:ascii="Times New Roman" w:hAnsi="Times New Roman"/>
          <w:sz w:val="24"/>
        </w:rPr>
        <w:t>.2</w:t>
      </w:r>
      <w:r w:rsidR="007A5A4B" w:rsidRPr="009B3F03">
        <w:rPr>
          <w:rFonts w:ascii="Times New Roman" w:hAnsi="Times New Roman"/>
          <w:sz w:val="24"/>
        </w:rPr>
        <w:t xml:space="preserve">. </w:t>
      </w:r>
      <w:r w:rsidR="00DB0D0F">
        <w:rPr>
          <w:rFonts w:ascii="Times New Roman" w:hAnsi="Times New Roman"/>
          <w:sz w:val="24"/>
        </w:rPr>
        <w:t xml:space="preserve"> </w:t>
      </w:r>
      <w:proofErr w:type="gramStart"/>
      <w:r w:rsidR="007A5A4B">
        <w:rPr>
          <w:rFonts w:ascii="Times New Roman" w:hAnsi="Times New Roman"/>
          <w:sz w:val="24"/>
        </w:rPr>
        <w:t>Food insecurity levels for children within households.*</w:t>
      </w:r>
      <w:r w:rsidR="007A5A4B">
        <w:rPr>
          <w:rFonts w:ascii="Times New Roman" w:hAnsi="Times New Roman"/>
          <w:sz w:val="24"/>
        </w:rPr>
        <w:br/>
      </w:r>
      <w:r w:rsidR="007A5A4B" w:rsidRPr="00503208">
        <w:rPr>
          <w:noProof/>
          <w:lang w:eastAsia="zh-TW"/>
        </w:rPr>
        <w:lastRenderedPageBreak/>
        <w:drawing>
          <wp:inline distT="0" distB="0" distL="0" distR="0">
            <wp:extent cx="2895238" cy="1638095"/>
            <wp:effectExtent l="25400" t="0" r="362" b="0"/>
            <wp:docPr id="1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2895238" cy="1638095"/>
                    </a:xfrm>
                    <a:prstGeom prst="rect">
                      <a:avLst/>
                    </a:prstGeom>
                    <a:noFill/>
                    <a:ln w="9525">
                      <a:noFill/>
                      <a:miter lim="800000"/>
                      <a:headEnd/>
                      <a:tailEnd/>
                    </a:ln>
                  </pic:spPr>
                </pic:pic>
              </a:graphicData>
            </a:graphic>
          </wp:inline>
        </w:drawing>
      </w:r>
      <w:r w:rsidR="007A5A4B">
        <w:rPr>
          <w:rFonts w:ascii="Times New Roman" w:hAnsi="Times New Roman"/>
          <w:sz w:val="24"/>
        </w:rPr>
        <w:br/>
        <w:t>*</w:t>
      </w:r>
      <w:r w:rsidR="007A5A4B" w:rsidRPr="00FE3831">
        <w:rPr>
          <w:rFonts w:ascii="Times New Roman" w:hAnsi="Times New Roman"/>
          <w:sz w:val="24"/>
        </w:rPr>
        <w:t xml:space="preserve">Percent (weighted by sample size) of households with children across </w:t>
      </w:r>
      <w:r w:rsidR="007A5A4B">
        <w:rPr>
          <w:rFonts w:ascii="Times New Roman" w:hAnsi="Times New Roman"/>
          <w:sz w:val="24"/>
        </w:rPr>
        <w:t>n</w:t>
      </w:r>
      <w:r w:rsidR="007A5A4B" w:rsidRPr="00FE3831">
        <w:rPr>
          <w:rFonts w:ascii="Times New Roman" w:hAnsi="Times New Roman"/>
          <w:sz w:val="24"/>
        </w:rPr>
        <w:t>orthern Manitoba that experienced food security (black), moderate food insecurity (grey) and severe food insecurity (white) (95% confidence).</w:t>
      </w:r>
      <w:proofErr w:type="gramEnd"/>
      <w:r w:rsidR="007A5A4B">
        <w:rPr>
          <w:rFonts w:ascii="Times New Roman" w:hAnsi="Times New Roman"/>
          <w:sz w:val="24"/>
        </w:rPr>
        <w:t xml:space="preserve"> </w:t>
      </w:r>
    </w:p>
    <w:p w:rsidR="007102AF" w:rsidRDefault="007A5A4B" w:rsidP="007A5A4B">
      <w:pPr>
        <w:rPr>
          <w:rFonts w:ascii="Times New Roman" w:hAnsi="Times New Roman"/>
          <w:sz w:val="24"/>
        </w:rPr>
      </w:pPr>
      <w:r>
        <w:rPr>
          <w:rFonts w:ascii="Times New Roman" w:hAnsi="Times New Roman"/>
          <w:sz w:val="24"/>
        </w:rPr>
        <w:t>For all households</w:t>
      </w:r>
      <w:r w:rsidRPr="00EB72CE">
        <w:rPr>
          <w:rFonts w:ascii="Times New Roman" w:hAnsi="Times New Roman"/>
          <w:sz w:val="24"/>
        </w:rPr>
        <w:t xml:space="preserve"> </w:t>
      </w:r>
      <w:r>
        <w:rPr>
          <w:rFonts w:ascii="Times New Roman" w:hAnsi="Times New Roman"/>
          <w:sz w:val="24"/>
        </w:rPr>
        <w:t xml:space="preserve">in each community </w:t>
      </w:r>
      <w:r w:rsidRPr="00EB72CE">
        <w:rPr>
          <w:rFonts w:ascii="Times New Roman" w:hAnsi="Times New Roman"/>
          <w:sz w:val="24"/>
        </w:rPr>
        <w:t>the overall rate of food insecurity (mod</w:t>
      </w:r>
      <w:r>
        <w:rPr>
          <w:rFonts w:ascii="Times New Roman" w:hAnsi="Times New Roman"/>
          <w:sz w:val="24"/>
        </w:rPr>
        <w:t>erate and severe) ranged from 47</w:t>
      </w:r>
      <w:r w:rsidRPr="00EB72CE">
        <w:rPr>
          <w:rFonts w:ascii="Times New Roman" w:hAnsi="Times New Roman"/>
          <w:sz w:val="24"/>
        </w:rPr>
        <w:t xml:space="preserve">% in </w:t>
      </w:r>
      <w:r>
        <w:rPr>
          <w:rFonts w:ascii="Times New Roman" w:hAnsi="Times New Roman"/>
          <w:sz w:val="24"/>
        </w:rPr>
        <w:t>Nelson House</w:t>
      </w:r>
      <w:r w:rsidRPr="00EB72CE">
        <w:rPr>
          <w:rFonts w:ascii="Times New Roman" w:hAnsi="Times New Roman"/>
          <w:sz w:val="24"/>
        </w:rPr>
        <w:t xml:space="preserve"> to</w:t>
      </w:r>
      <w:r>
        <w:rPr>
          <w:rFonts w:ascii="Times New Roman" w:hAnsi="Times New Roman"/>
          <w:sz w:val="24"/>
        </w:rPr>
        <w:t xml:space="preserve"> 100</w:t>
      </w:r>
      <w:r w:rsidR="00414B4C">
        <w:rPr>
          <w:rFonts w:ascii="Times New Roman" w:hAnsi="Times New Roman"/>
          <w:sz w:val="24"/>
        </w:rPr>
        <w:t>% in South Indian Lake (Figure 1</w:t>
      </w:r>
      <w:r>
        <w:rPr>
          <w:rFonts w:ascii="Times New Roman" w:hAnsi="Times New Roman"/>
          <w:sz w:val="24"/>
        </w:rPr>
        <w:t>.3</w:t>
      </w:r>
      <w:r w:rsidRPr="00EB72CE">
        <w:rPr>
          <w:rFonts w:ascii="Times New Roman" w:hAnsi="Times New Roman"/>
          <w:sz w:val="24"/>
        </w:rPr>
        <w:t xml:space="preserve">).  </w:t>
      </w:r>
      <w:r>
        <w:rPr>
          <w:rFonts w:ascii="Times New Roman" w:hAnsi="Times New Roman"/>
          <w:sz w:val="24"/>
        </w:rPr>
        <w:t>Communities with the greatest food insecurity were South Indian L</w:t>
      </w:r>
      <w:r w:rsidR="007102AF">
        <w:rPr>
          <w:rFonts w:ascii="Times New Roman" w:hAnsi="Times New Roman"/>
          <w:sz w:val="24"/>
        </w:rPr>
        <w:t>ake and fly-in communities that include:</w:t>
      </w:r>
      <w:r w:rsidR="007102AF" w:rsidRPr="00EB72CE">
        <w:rPr>
          <w:rFonts w:ascii="Times New Roman" w:hAnsi="Times New Roman"/>
          <w:sz w:val="24"/>
        </w:rPr>
        <w:t xml:space="preserve"> </w:t>
      </w:r>
      <w:proofErr w:type="spellStart"/>
      <w:r w:rsidR="007102AF">
        <w:rPr>
          <w:rFonts w:ascii="Times New Roman" w:hAnsi="Times New Roman"/>
          <w:sz w:val="24"/>
        </w:rPr>
        <w:t>Brochet</w:t>
      </w:r>
      <w:proofErr w:type="spellEnd"/>
      <w:r w:rsidR="007102AF">
        <w:rPr>
          <w:rFonts w:ascii="Times New Roman" w:hAnsi="Times New Roman"/>
          <w:sz w:val="24"/>
        </w:rPr>
        <w:t xml:space="preserve">, Garden Hill, Granville Lake, </w:t>
      </w:r>
      <w:r w:rsidR="007102AF" w:rsidRPr="00EB72CE">
        <w:rPr>
          <w:rFonts w:ascii="Times New Roman" w:hAnsi="Times New Roman"/>
          <w:sz w:val="24"/>
        </w:rPr>
        <w:t>Red Sucker La</w:t>
      </w:r>
      <w:r w:rsidR="007102AF">
        <w:rPr>
          <w:rFonts w:ascii="Times New Roman" w:hAnsi="Times New Roman"/>
          <w:sz w:val="24"/>
        </w:rPr>
        <w:t>ke and St. Theresa Point.</w:t>
      </w:r>
      <w:r>
        <w:rPr>
          <w:rFonts w:ascii="Times New Roman" w:hAnsi="Times New Roman"/>
          <w:sz w:val="24"/>
        </w:rPr>
        <w:t xml:space="preserve"> </w:t>
      </w:r>
      <w:r w:rsidRPr="00EB72CE">
        <w:rPr>
          <w:rFonts w:ascii="Times New Roman" w:hAnsi="Times New Roman"/>
          <w:sz w:val="24"/>
        </w:rPr>
        <w:t xml:space="preserve">Moderate food </w:t>
      </w:r>
      <w:r>
        <w:rPr>
          <w:rFonts w:ascii="Times New Roman" w:hAnsi="Times New Roman"/>
          <w:sz w:val="24"/>
        </w:rPr>
        <w:t>in</w:t>
      </w:r>
      <w:r w:rsidRPr="00EB72CE">
        <w:rPr>
          <w:rFonts w:ascii="Times New Roman" w:hAnsi="Times New Roman"/>
          <w:sz w:val="24"/>
        </w:rPr>
        <w:t xml:space="preserve">security rates were lowest in </w:t>
      </w:r>
      <w:r>
        <w:rPr>
          <w:rFonts w:ascii="Times New Roman" w:hAnsi="Times New Roman"/>
          <w:sz w:val="24"/>
        </w:rPr>
        <w:t>Granville Lake (13</w:t>
      </w:r>
      <w:r w:rsidRPr="00EB72CE">
        <w:rPr>
          <w:rFonts w:ascii="Times New Roman" w:hAnsi="Times New Roman"/>
          <w:sz w:val="24"/>
        </w:rPr>
        <w:t xml:space="preserve">%) and highest in </w:t>
      </w:r>
      <w:r>
        <w:rPr>
          <w:rFonts w:ascii="Times New Roman" w:hAnsi="Times New Roman"/>
          <w:sz w:val="24"/>
        </w:rPr>
        <w:t>Thicket Portage (85%) and s</w:t>
      </w:r>
      <w:r w:rsidRPr="00EB72CE">
        <w:rPr>
          <w:rFonts w:ascii="Times New Roman" w:hAnsi="Times New Roman"/>
          <w:sz w:val="24"/>
        </w:rPr>
        <w:t>evere food s</w:t>
      </w:r>
      <w:r>
        <w:rPr>
          <w:rFonts w:ascii="Times New Roman" w:hAnsi="Times New Roman"/>
          <w:sz w:val="24"/>
        </w:rPr>
        <w:t xml:space="preserve">ecurity rates were lowest in </w:t>
      </w:r>
      <w:proofErr w:type="spellStart"/>
      <w:r>
        <w:rPr>
          <w:rFonts w:ascii="Times New Roman" w:hAnsi="Times New Roman"/>
          <w:sz w:val="24"/>
        </w:rPr>
        <w:t>Il</w:t>
      </w:r>
      <w:r w:rsidRPr="00EB72CE">
        <w:rPr>
          <w:rFonts w:ascii="Times New Roman" w:hAnsi="Times New Roman"/>
          <w:sz w:val="24"/>
        </w:rPr>
        <w:t>ford</w:t>
      </w:r>
      <w:proofErr w:type="spellEnd"/>
      <w:r w:rsidRPr="00EB72CE">
        <w:rPr>
          <w:rFonts w:ascii="Times New Roman" w:hAnsi="Times New Roman"/>
          <w:sz w:val="24"/>
        </w:rPr>
        <w:t xml:space="preserve"> and Thicket Portage (0</w:t>
      </w:r>
      <w:r>
        <w:rPr>
          <w:rFonts w:ascii="Times New Roman" w:hAnsi="Times New Roman"/>
          <w:sz w:val="24"/>
        </w:rPr>
        <w:t xml:space="preserve"> to 5</w:t>
      </w:r>
      <w:r w:rsidRPr="00EB72CE">
        <w:rPr>
          <w:rFonts w:ascii="Times New Roman" w:hAnsi="Times New Roman"/>
          <w:sz w:val="24"/>
        </w:rPr>
        <w:t xml:space="preserve">%) and highest in </w:t>
      </w:r>
      <w:r>
        <w:rPr>
          <w:rFonts w:ascii="Times New Roman" w:hAnsi="Times New Roman"/>
          <w:sz w:val="24"/>
        </w:rPr>
        <w:t>Granville Lake (75</w:t>
      </w:r>
      <w:r w:rsidRPr="00EB72CE">
        <w:rPr>
          <w:rFonts w:ascii="Times New Roman" w:hAnsi="Times New Roman"/>
          <w:sz w:val="24"/>
        </w:rPr>
        <w:t xml:space="preserve">%).  There were a greater proportion of households with severe food insecurity than moderate food insecurity in </w:t>
      </w:r>
      <w:r>
        <w:rPr>
          <w:rFonts w:ascii="Times New Roman" w:hAnsi="Times New Roman"/>
          <w:sz w:val="24"/>
        </w:rPr>
        <w:t>six</w:t>
      </w:r>
      <w:r w:rsidRPr="00EB72CE">
        <w:rPr>
          <w:rFonts w:ascii="Times New Roman" w:hAnsi="Times New Roman"/>
          <w:sz w:val="24"/>
        </w:rPr>
        <w:t xml:space="preserve"> communities:  </w:t>
      </w:r>
      <w:proofErr w:type="spellStart"/>
      <w:r>
        <w:rPr>
          <w:rFonts w:ascii="Times New Roman" w:hAnsi="Times New Roman"/>
          <w:sz w:val="24"/>
        </w:rPr>
        <w:t>Brochet</w:t>
      </w:r>
      <w:proofErr w:type="spellEnd"/>
      <w:r>
        <w:rPr>
          <w:rFonts w:ascii="Times New Roman" w:hAnsi="Times New Roman"/>
          <w:sz w:val="24"/>
        </w:rPr>
        <w:t xml:space="preserve">, Garden Hill, Granville Lake, </w:t>
      </w:r>
      <w:r w:rsidRPr="00EB72CE">
        <w:rPr>
          <w:rFonts w:ascii="Times New Roman" w:hAnsi="Times New Roman"/>
          <w:sz w:val="24"/>
        </w:rPr>
        <w:t>Red Sucker La</w:t>
      </w:r>
      <w:r>
        <w:rPr>
          <w:rFonts w:ascii="Times New Roman" w:hAnsi="Times New Roman"/>
          <w:sz w:val="24"/>
        </w:rPr>
        <w:t xml:space="preserve">ke, South Indian Lake and St. Theresa Point.  </w:t>
      </w:r>
    </w:p>
    <w:p w:rsidR="00D811F5" w:rsidRDefault="007A5A4B" w:rsidP="007A5A4B">
      <w:pPr>
        <w:rPr>
          <w:rFonts w:ascii="Times New Roman" w:hAnsi="Times New Roman"/>
          <w:sz w:val="24"/>
        </w:rPr>
      </w:pPr>
      <w:r w:rsidRPr="00EB72CE">
        <w:rPr>
          <w:rFonts w:ascii="Times New Roman" w:hAnsi="Times New Roman"/>
          <w:sz w:val="24"/>
        </w:rPr>
        <w:t xml:space="preserve">For </w:t>
      </w:r>
      <w:r>
        <w:rPr>
          <w:rFonts w:ascii="Times New Roman" w:hAnsi="Times New Roman"/>
          <w:sz w:val="24"/>
        </w:rPr>
        <w:t>households with children</w:t>
      </w:r>
      <w:r w:rsidRPr="00EB72CE">
        <w:rPr>
          <w:rFonts w:ascii="Times New Roman" w:hAnsi="Times New Roman"/>
          <w:sz w:val="24"/>
        </w:rPr>
        <w:t xml:space="preserve"> the </w:t>
      </w:r>
      <w:r>
        <w:rPr>
          <w:rFonts w:ascii="Times New Roman" w:hAnsi="Times New Roman"/>
          <w:sz w:val="24"/>
        </w:rPr>
        <w:t>total</w:t>
      </w:r>
      <w:r w:rsidRPr="00EB72CE">
        <w:rPr>
          <w:rFonts w:ascii="Times New Roman" w:hAnsi="Times New Roman"/>
          <w:sz w:val="24"/>
        </w:rPr>
        <w:t xml:space="preserve"> rate of food insecurity (mod</w:t>
      </w:r>
      <w:r>
        <w:rPr>
          <w:rFonts w:ascii="Times New Roman" w:hAnsi="Times New Roman"/>
          <w:sz w:val="24"/>
        </w:rPr>
        <w:t>erate and severe) ranged from 10</w:t>
      </w:r>
      <w:r w:rsidRPr="00EB72CE">
        <w:rPr>
          <w:rFonts w:ascii="Times New Roman" w:hAnsi="Times New Roman"/>
          <w:sz w:val="24"/>
        </w:rPr>
        <w:t xml:space="preserve">% in </w:t>
      </w:r>
      <w:proofErr w:type="spellStart"/>
      <w:r>
        <w:rPr>
          <w:rFonts w:ascii="Times New Roman" w:hAnsi="Times New Roman"/>
          <w:sz w:val="24"/>
        </w:rPr>
        <w:t>Ilford</w:t>
      </w:r>
      <w:proofErr w:type="spellEnd"/>
      <w:r w:rsidRPr="00EB72CE">
        <w:rPr>
          <w:rFonts w:ascii="Times New Roman" w:hAnsi="Times New Roman"/>
          <w:sz w:val="24"/>
        </w:rPr>
        <w:t xml:space="preserve"> to </w:t>
      </w:r>
      <w:r w:rsidR="00414B4C">
        <w:rPr>
          <w:rFonts w:ascii="Times New Roman" w:hAnsi="Times New Roman"/>
          <w:sz w:val="24"/>
        </w:rPr>
        <w:t>88% in Granville Lake (Figure 1</w:t>
      </w:r>
      <w:r>
        <w:rPr>
          <w:rFonts w:ascii="Times New Roman" w:hAnsi="Times New Roman"/>
          <w:sz w:val="24"/>
        </w:rPr>
        <w:t>.4</w:t>
      </w:r>
      <w:r w:rsidRPr="00EB72CE">
        <w:rPr>
          <w:rFonts w:ascii="Times New Roman" w:hAnsi="Times New Roman"/>
          <w:sz w:val="24"/>
        </w:rPr>
        <w:t xml:space="preserve">). </w:t>
      </w:r>
      <w:r>
        <w:rPr>
          <w:rFonts w:ascii="Times New Roman" w:hAnsi="Times New Roman"/>
          <w:sz w:val="24"/>
        </w:rPr>
        <w:t xml:space="preserve">Moderate food insecurity rates were lowest in </w:t>
      </w:r>
      <w:proofErr w:type="spellStart"/>
      <w:r>
        <w:rPr>
          <w:rFonts w:ascii="Times New Roman" w:hAnsi="Times New Roman"/>
          <w:sz w:val="24"/>
        </w:rPr>
        <w:t>Ilford</w:t>
      </w:r>
      <w:proofErr w:type="spellEnd"/>
      <w:r>
        <w:rPr>
          <w:rFonts w:ascii="Times New Roman" w:hAnsi="Times New Roman"/>
          <w:sz w:val="24"/>
        </w:rPr>
        <w:t xml:space="preserve"> (10%) and highest in Thicket Portage (80%) and severe food insecurity rates were lowest in </w:t>
      </w:r>
      <w:proofErr w:type="spellStart"/>
      <w:r>
        <w:rPr>
          <w:rFonts w:ascii="Times New Roman" w:hAnsi="Times New Roman"/>
          <w:sz w:val="24"/>
        </w:rPr>
        <w:t>Ilford</w:t>
      </w:r>
      <w:proofErr w:type="spellEnd"/>
      <w:r>
        <w:rPr>
          <w:rFonts w:ascii="Times New Roman" w:hAnsi="Times New Roman"/>
          <w:sz w:val="24"/>
        </w:rPr>
        <w:t xml:space="preserve"> and Thicket Portage (</w:t>
      </w:r>
      <w:r w:rsidRPr="00EB72CE">
        <w:rPr>
          <w:rFonts w:ascii="Times New Roman" w:hAnsi="Times New Roman"/>
          <w:sz w:val="24"/>
        </w:rPr>
        <w:t xml:space="preserve">0%) and highest in </w:t>
      </w:r>
      <w:r>
        <w:rPr>
          <w:rFonts w:ascii="Times New Roman" w:hAnsi="Times New Roman"/>
          <w:sz w:val="24"/>
        </w:rPr>
        <w:t>South Indian Lake</w:t>
      </w:r>
      <w:r w:rsidRPr="00EB72CE">
        <w:rPr>
          <w:rFonts w:ascii="Times New Roman" w:hAnsi="Times New Roman"/>
          <w:sz w:val="24"/>
        </w:rPr>
        <w:t xml:space="preserve"> (</w:t>
      </w:r>
      <w:r>
        <w:rPr>
          <w:rFonts w:ascii="Times New Roman" w:hAnsi="Times New Roman"/>
          <w:sz w:val="24"/>
        </w:rPr>
        <w:t>53</w:t>
      </w:r>
      <w:r w:rsidRPr="00EB72CE">
        <w:rPr>
          <w:rFonts w:ascii="Times New Roman" w:hAnsi="Times New Roman"/>
          <w:sz w:val="24"/>
        </w:rPr>
        <w:t xml:space="preserve">%).  There were a greater proportion of households with severe food insecurity compared to moderate food insecurity in the </w:t>
      </w:r>
      <w:r>
        <w:rPr>
          <w:rFonts w:ascii="Times New Roman" w:hAnsi="Times New Roman"/>
          <w:sz w:val="24"/>
        </w:rPr>
        <w:t>four</w:t>
      </w:r>
      <w:r w:rsidRPr="00EB72CE">
        <w:rPr>
          <w:rFonts w:ascii="Times New Roman" w:hAnsi="Times New Roman"/>
          <w:sz w:val="24"/>
        </w:rPr>
        <w:t xml:space="preserve"> out of 14 communities: </w:t>
      </w:r>
      <w:proofErr w:type="spellStart"/>
      <w:r>
        <w:rPr>
          <w:rFonts w:ascii="Times New Roman" w:hAnsi="Times New Roman"/>
          <w:sz w:val="24"/>
        </w:rPr>
        <w:t>Brochet</w:t>
      </w:r>
      <w:proofErr w:type="spellEnd"/>
      <w:r>
        <w:rPr>
          <w:rFonts w:ascii="Times New Roman" w:hAnsi="Times New Roman"/>
          <w:sz w:val="24"/>
        </w:rPr>
        <w:t xml:space="preserve">, Garden Hill, </w:t>
      </w:r>
      <w:r w:rsidRPr="00EB72CE">
        <w:rPr>
          <w:rFonts w:ascii="Times New Roman" w:hAnsi="Times New Roman"/>
          <w:sz w:val="24"/>
        </w:rPr>
        <w:t>Red Sucker Lake</w:t>
      </w:r>
      <w:r>
        <w:rPr>
          <w:rFonts w:ascii="Times New Roman" w:hAnsi="Times New Roman"/>
          <w:sz w:val="24"/>
        </w:rPr>
        <w:t xml:space="preserve"> and </w:t>
      </w:r>
      <w:r w:rsidRPr="00EB72CE">
        <w:rPr>
          <w:rFonts w:ascii="Times New Roman" w:hAnsi="Times New Roman"/>
          <w:sz w:val="24"/>
        </w:rPr>
        <w:t>South Indian Lake.</w:t>
      </w:r>
      <w:r>
        <w:rPr>
          <w:rFonts w:ascii="Times New Roman" w:hAnsi="Times New Roman"/>
          <w:sz w:val="24"/>
        </w:rPr>
        <w:t xml:space="preserve">  Children were more protected from food insecurity than adults.</w:t>
      </w:r>
      <w:r w:rsidR="00BF2192">
        <w:rPr>
          <w:rFonts w:ascii="Times New Roman" w:hAnsi="Times New Roman"/>
          <w:sz w:val="24"/>
        </w:rPr>
        <w:br/>
      </w:r>
      <w:r w:rsidR="00BF2192">
        <w:rPr>
          <w:rFonts w:ascii="Times New Roman" w:hAnsi="Times New Roman"/>
          <w:sz w:val="24"/>
        </w:rPr>
        <w:br/>
      </w:r>
      <w:r w:rsidR="007102AF">
        <w:rPr>
          <w:rFonts w:ascii="Times New Roman" w:hAnsi="Times New Roman"/>
          <w:sz w:val="24"/>
        </w:rPr>
        <w:t>Figure 1</w:t>
      </w:r>
      <w:r w:rsidRPr="00EB72CE">
        <w:rPr>
          <w:rFonts w:ascii="Times New Roman" w:hAnsi="Times New Roman"/>
          <w:sz w:val="24"/>
        </w:rPr>
        <w:t>.3.</w:t>
      </w:r>
      <w:r w:rsidR="00DB0D0F">
        <w:rPr>
          <w:rFonts w:ascii="Times New Roman" w:hAnsi="Times New Roman"/>
          <w:sz w:val="24"/>
        </w:rPr>
        <w:t xml:space="preserve"> </w:t>
      </w:r>
      <w:r w:rsidRPr="00EB72CE">
        <w:rPr>
          <w:rFonts w:ascii="Times New Roman" w:hAnsi="Times New Roman"/>
          <w:sz w:val="24"/>
        </w:rPr>
        <w:t xml:space="preserve"> Percent food insecurity</w:t>
      </w:r>
      <w:r>
        <w:rPr>
          <w:rFonts w:ascii="Times New Roman" w:hAnsi="Times New Roman"/>
          <w:sz w:val="24"/>
        </w:rPr>
        <w:t xml:space="preserve"> in all households compared by community in northern Manitoba.*</w:t>
      </w:r>
      <w:r>
        <w:rPr>
          <w:rFonts w:ascii="Times New Roman" w:hAnsi="Times New Roman"/>
          <w:sz w:val="24"/>
        </w:rPr>
        <w:br/>
      </w:r>
      <w:r w:rsidRPr="00B35AEC">
        <w:lastRenderedPageBreak/>
        <w:t xml:space="preserve"> </w:t>
      </w:r>
      <w:r w:rsidRPr="00B35AEC">
        <w:rPr>
          <w:noProof/>
          <w:lang w:eastAsia="zh-TW"/>
        </w:rPr>
        <w:drawing>
          <wp:inline distT="0" distB="0" distL="0" distR="0">
            <wp:extent cx="4556191" cy="2727619"/>
            <wp:effectExtent l="25400" t="0" r="0" b="0"/>
            <wp:docPr id="1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556191" cy="2727619"/>
                    </a:xfrm>
                    <a:prstGeom prst="rect">
                      <a:avLst/>
                    </a:prstGeom>
                    <a:noFill/>
                    <a:ln w="9525">
                      <a:noFill/>
                      <a:miter lim="800000"/>
                      <a:headEnd/>
                      <a:tailEnd/>
                    </a:ln>
                  </pic:spPr>
                </pic:pic>
              </a:graphicData>
            </a:graphic>
          </wp:inline>
        </w:drawing>
      </w:r>
      <w:r>
        <w:rPr>
          <w:noProof/>
        </w:rPr>
        <w:br/>
      </w:r>
      <w:r>
        <w:rPr>
          <w:rFonts w:ascii="Times New Roman" w:hAnsi="Times New Roman"/>
          <w:sz w:val="24"/>
        </w:rPr>
        <w:t>*Numbers in brackets represent sample size, the number of households that were interviewed in each community.</w:t>
      </w:r>
      <w:r w:rsidR="00BF2192">
        <w:rPr>
          <w:rFonts w:ascii="Times New Roman" w:hAnsi="Times New Roman"/>
          <w:sz w:val="24"/>
        </w:rPr>
        <w:br w:type="page"/>
      </w:r>
      <w:r w:rsidR="007102AF">
        <w:rPr>
          <w:rFonts w:ascii="Times New Roman" w:hAnsi="Times New Roman"/>
          <w:sz w:val="24"/>
        </w:rPr>
        <w:lastRenderedPageBreak/>
        <w:t>Figure 1</w:t>
      </w:r>
      <w:r>
        <w:rPr>
          <w:rFonts w:ascii="Times New Roman" w:hAnsi="Times New Roman"/>
          <w:sz w:val="24"/>
        </w:rPr>
        <w:t>.4.  Percent fo</w:t>
      </w:r>
      <w:r w:rsidR="008D710F">
        <w:rPr>
          <w:rFonts w:ascii="Times New Roman" w:hAnsi="Times New Roman"/>
          <w:sz w:val="24"/>
        </w:rPr>
        <w:t>od insecurity of</w:t>
      </w:r>
      <w:r>
        <w:rPr>
          <w:rFonts w:ascii="Times New Roman" w:hAnsi="Times New Roman"/>
          <w:sz w:val="24"/>
        </w:rPr>
        <w:t xml:space="preserve"> children </w:t>
      </w:r>
      <w:r w:rsidR="008D710F">
        <w:rPr>
          <w:rFonts w:ascii="Times New Roman" w:hAnsi="Times New Roman"/>
          <w:sz w:val="24"/>
        </w:rPr>
        <w:t xml:space="preserve">in households </w:t>
      </w:r>
      <w:r>
        <w:rPr>
          <w:rFonts w:ascii="Times New Roman" w:hAnsi="Times New Roman"/>
          <w:sz w:val="24"/>
        </w:rPr>
        <w:t>compared by communities.*</w:t>
      </w:r>
      <w:r w:rsidRPr="00B35AEC">
        <w:rPr>
          <w:noProof/>
        </w:rPr>
        <w:t xml:space="preserve"> </w:t>
      </w:r>
      <w:r w:rsidRPr="00B35AEC">
        <w:rPr>
          <w:noProof/>
          <w:lang w:eastAsia="zh-TW"/>
        </w:rPr>
        <w:drawing>
          <wp:inline distT="0" distB="0" distL="0" distR="0">
            <wp:extent cx="4556191" cy="2727619"/>
            <wp:effectExtent l="25400" t="0" r="0" b="0"/>
            <wp:docPr id="1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556191" cy="2727619"/>
                    </a:xfrm>
                    <a:prstGeom prst="rect">
                      <a:avLst/>
                    </a:prstGeom>
                    <a:noFill/>
                    <a:ln w="9525">
                      <a:noFill/>
                      <a:miter lim="800000"/>
                      <a:headEnd/>
                      <a:tailEnd/>
                    </a:ln>
                  </pic:spPr>
                </pic:pic>
              </a:graphicData>
            </a:graphic>
          </wp:inline>
        </w:drawing>
      </w:r>
      <w:r>
        <w:rPr>
          <w:noProof/>
        </w:rPr>
        <w:br/>
      </w:r>
      <w:r>
        <w:rPr>
          <w:rFonts w:ascii="Times New Roman" w:hAnsi="Times New Roman"/>
          <w:sz w:val="24"/>
        </w:rPr>
        <w:t>*Numbers in brackets represent sample size, the number of households that were</w:t>
      </w:r>
      <w:r w:rsidR="00BF2192">
        <w:rPr>
          <w:rFonts w:ascii="Times New Roman" w:hAnsi="Times New Roman"/>
          <w:sz w:val="24"/>
        </w:rPr>
        <w:t xml:space="preserve"> </w:t>
      </w:r>
      <w:r w:rsidR="00D811F5">
        <w:rPr>
          <w:rFonts w:ascii="Times New Roman" w:hAnsi="Times New Roman"/>
          <w:sz w:val="24"/>
        </w:rPr>
        <w:t>interviewed in each community.</w:t>
      </w:r>
      <w:r w:rsidR="00D811F5">
        <w:rPr>
          <w:rFonts w:ascii="Times New Roman" w:hAnsi="Times New Roman"/>
          <w:sz w:val="24"/>
        </w:rPr>
        <w:br/>
      </w:r>
      <w:r w:rsidR="00BF2192">
        <w:rPr>
          <w:rFonts w:ascii="Times New Roman" w:hAnsi="Times New Roman"/>
          <w:sz w:val="24"/>
        </w:rPr>
        <w:br/>
      </w:r>
      <w:r>
        <w:rPr>
          <w:rFonts w:ascii="Times New Roman" w:hAnsi="Times New Roman"/>
          <w:sz w:val="24"/>
        </w:rPr>
        <w:t>Communities that were remote, those without road access, had higher percentages of overall and severe food insecurity than those with road acc</w:t>
      </w:r>
      <w:r w:rsidR="00414B4C">
        <w:rPr>
          <w:rFonts w:ascii="Times New Roman" w:hAnsi="Times New Roman"/>
          <w:sz w:val="24"/>
        </w:rPr>
        <w:t>ess for all households (Figure 1</w:t>
      </w:r>
      <w:r w:rsidR="00871D70">
        <w:rPr>
          <w:rFonts w:ascii="Times New Roman" w:hAnsi="Times New Roman"/>
          <w:sz w:val="24"/>
        </w:rPr>
        <w:t>.5) and the</w:t>
      </w:r>
      <w:r w:rsidR="00414B4C">
        <w:rPr>
          <w:rFonts w:ascii="Times New Roman" w:hAnsi="Times New Roman"/>
          <w:sz w:val="24"/>
        </w:rPr>
        <w:t xml:space="preserve"> children </w:t>
      </w:r>
      <w:r w:rsidR="00871D70">
        <w:rPr>
          <w:rFonts w:ascii="Times New Roman" w:hAnsi="Times New Roman"/>
          <w:sz w:val="24"/>
        </w:rPr>
        <w:t xml:space="preserve">in these households </w:t>
      </w:r>
      <w:r w:rsidR="00414B4C">
        <w:rPr>
          <w:rFonts w:ascii="Times New Roman" w:hAnsi="Times New Roman"/>
          <w:sz w:val="24"/>
        </w:rPr>
        <w:t>(Figure 1</w:t>
      </w:r>
      <w:r>
        <w:rPr>
          <w:rFonts w:ascii="Times New Roman" w:hAnsi="Times New Roman"/>
          <w:sz w:val="24"/>
        </w:rPr>
        <w:t>.6)</w:t>
      </w:r>
      <w:r w:rsidR="00871D70">
        <w:rPr>
          <w:rFonts w:ascii="Times New Roman" w:hAnsi="Times New Roman"/>
          <w:sz w:val="24"/>
        </w:rPr>
        <w:t>, although moderate food insecurity was similar between remote and non-remote communities.  Children in these households</w:t>
      </w:r>
      <w:r>
        <w:rPr>
          <w:rFonts w:ascii="Times New Roman" w:hAnsi="Times New Roman"/>
          <w:sz w:val="24"/>
        </w:rPr>
        <w:t xml:space="preserve">, the percentage of moderate food insecurity was also greater in communities that lacked road access compared with those with road access.  </w:t>
      </w:r>
      <w:r w:rsidR="00871D70">
        <w:rPr>
          <w:rFonts w:ascii="Times New Roman" w:hAnsi="Times New Roman"/>
          <w:sz w:val="24"/>
        </w:rPr>
        <w:t>Communities with l</w:t>
      </w:r>
      <w:r>
        <w:rPr>
          <w:rFonts w:ascii="Times New Roman" w:hAnsi="Times New Roman"/>
          <w:sz w:val="24"/>
        </w:rPr>
        <w:t>ack of road</w:t>
      </w:r>
      <w:r w:rsidR="008D710F">
        <w:rPr>
          <w:rFonts w:ascii="Times New Roman" w:hAnsi="Times New Roman"/>
          <w:sz w:val="24"/>
        </w:rPr>
        <w:t xml:space="preserve"> access</w:t>
      </w:r>
      <w:r>
        <w:rPr>
          <w:rFonts w:ascii="Times New Roman" w:hAnsi="Times New Roman"/>
          <w:sz w:val="24"/>
        </w:rPr>
        <w:t xml:space="preserve"> elevate</w:t>
      </w:r>
      <w:r w:rsidR="00871D70">
        <w:rPr>
          <w:rFonts w:ascii="Times New Roman" w:hAnsi="Times New Roman"/>
          <w:sz w:val="24"/>
        </w:rPr>
        <w:t>d</w:t>
      </w:r>
      <w:r>
        <w:rPr>
          <w:rFonts w:ascii="Times New Roman" w:hAnsi="Times New Roman"/>
          <w:sz w:val="24"/>
        </w:rPr>
        <w:t xml:space="preserve"> the rate of overall food insecurity by 10% in all households and 2</w:t>
      </w:r>
      <w:r w:rsidR="00BF2192">
        <w:rPr>
          <w:rFonts w:ascii="Times New Roman" w:hAnsi="Times New Roman"/>
          <w:sz w:val="24"/>
        </w:rPr>
        <w:t>0% in households with children.</w:t>
      </w:r>
      <w:r w:rsidR="00BD51DF">
        <w:rPr>
          <w:rFonts w:ascii="Times New Roman" w:hAnsi="Times New Roman"/>
          <w:sz w:val="24"/>
        </w:rPr>
        <w:br/>
      </w:r>
      <w:r w:rsidR="00BD51DF">
        <w:rPr>
          <w:rFonts w:ascii="Times New Roman" w:hAnsi="Times New Roman"/>
          <w:sz w:val="24"/>
        </w:rPr>
        <w:br/>
        <w:t>Figure 1.</w:t>
      </w:r>
      <w:r>
        <w:rPr>
          <w:rFonts w:ascii="Times New Roman" w:hAnsi="Times New Roman"/>
          <w:sz w:val="24"/>
        </w:rPr>
        <w:t xml:space="preserve">5. </w:t>
      </w:r>
      <w:r w:rsidR="00DB0D0F">
        <w:rPr>
          <w:rFonts w:ascii="Times New Roman" w:hAnsi="Times New Roman"/>
          <w:sz w:val="24"/>
        </w:rPr>
        <w:t xml:space="preserve"> </w:t>
      </w:r>
      <w:proofErr w:type="gramStart"/>
      <w:r>
        <w:rPr>
          <w:rFonts w:ascii="Times New Roman" w:hAnsi="Times New Roman"/>
          <w:sz w:val="24"/>
        </w:rPr>
        <w:t xml:space="preserve">Percent food insecurity </w:t>
      </w:r>
      <w:r w:rsidR="008D710F">
        <w:rPr>
          <w:rFonts w:ascii="Times New Roman" w:hAnsi="Times New Roman"/>
          <w:sz w:val="24"/>
        </w:rPr>
        <w:t xml:space="preserve">of Northern Manitoba </w:t>
      </w:r>
      <w:r w:rsidR="00871D70">
        <w:rPr>
          <w:rFonts w:ascii="Times New Roman" w:hAnsi="Times New Roman"/>
          <w:sz w:val="24"/>
        </w:rPr>
        <w:t>household</w:t>
      </w:r>
      <w:r w:rsidR="008D710F">
        <w:rPr>
          <w:rFonts w:ascii="Times New Roman" w:hAnsi="Times New Roman"/>
          <w:sz w:val="24"/>
        </w:rPr>
        <w:t>s</w:t>
      </w:r>
      <w:r w:rsidR="00871D70">
        <w:rPr>
          <w:rFonts w:ascii="Times New Roman" w:hAnsi="Times New Roman"/>
          <w:sz w:val="24"/>
        </w:rPr>
        <w:t xml:space="preserve"> </w:t>
      </w:r>
      <w:r w:rsidRPr="00684AA3">
        <w:rPr>
          <w:noProof/>
          <w:lang w:eastAsia="zh-TW"/>
        </w:rPr>
        <w:drawing>
          <wp:inline distT="0" distB="0" distL="0" distR="0">
            <wp:extent cx="4556191" cy="1531429"/>
            <wp:effectExtent l="25400" t="0" r="0" b="0"/>
            <wp:docPr id="1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4556191" cy="1531429"/>
                    </a:xfrm>
                    <a:prstGeom prst="rect">
                      <a:avLst/>
                    </a:prstGeom>
                    <a:noFill/>
                    <a:ln w="9525">
                      <a:noFill/>
                      <a:miter lim="800000"/>
                      <a:headEnd/>
                      <a:tailEnd/>
                    </a:ln>
                  </pic:spPr>
                </pic:pic>
              </a:graphicData>
            </a:graphic>
          </wp:inline>
        </w:drawing>
      </w:r>
      <w:r>
        <w:rPr>
          <w:rFonts w:ascii="Times New Roman" w:hAnsi="Times New Roman"/>
          <w:sz w:val="24"/>
        </w:rPr>
        <w:br/>
        <w:t>*(weighted by sample size) in all households compared by remoteness.</w:t>
      </w:r>
      <w:proofErr w:type="gramEnd"/>
      <w:r>
        <w:rPr>
          <w:rFonts w:ascii="Times New Roman" w:hAnsi="Times New Roman"/>
          <w:sz w:val="24"/>
        </w:rPr>
        <w:t xml:space="preserve"> Remote communities had no road access.</w:t>
      </w:r>
      <w:r w:rsidR="00DB0D0F">
        <w:rPr>
          <w:rFonts w:ascii="Times New Roman" w:hAnsi="Times New Roman"/>
          <w:sz w:val="24"/>
        </w:rPr>
        <w:t xml:space="preserve"> </w:t>
      </w:r>
      <w:r>
        <w:rPr>
          <w:rFonts w:ascii="Times New Roman" w:hAnsi="Times New Roman"/>
          <w:sz w:val="24"/>
        </w:rPr>
        <w:t xml:space="preserve"> The number of communities in each grouping is indicated in brackets.</w:t>
      </w:r>
      <w:r w:rsidR="008D710F">
        <w:rPr>
          <w:rFonts w:ascii="Times New Roman" w:hAnsi="Times New Roman"/>
          <w:sz w:val="24"/>
        </w:rPr>
        <w:t xml:space="preserve"> 95% confidence intervals provided.</w:t>
      </w:r>
      <w:r>
        <w:rPr>
          <w:rFonts w:ascii="Times New Roman" w:hAnsi="Times New Roman"/>
          <w:sz w:val="24"/>
        </w:rPr>
        <w:br/>
      </w:r>
      <w:r>
        <w:rPr>
          <w:rFonts w:ascii="Times New Roman" w:hAnsi="Times New Roman"/>
          <w:sz w:val="24"/>
        </w:rPr>
        <w:lastRenderedPageBreak/>
        <w:br/>
      </w:r>
    </w:p>
    <w:p w:rsidR="007A5A4B" w:rsidRPr="00E805AC" w:rsidRDefault="00414B4C" w:rsidP="007A5A4B">
      <w:pPr>
        <w:rPr>
          <w:rFonts w:ascii="Times New Roman" w:hAnsi="Times New Roman"/>
          <w:sz w:val="24"/>
        </w:rPr>
      </w:pPr>
      <w:r>
        <w:rPr>
          <w:rFonts w:ascii="Times New Roman" w:hAnsi="Times New Roman"/>
          <w:sz w:val="24"/>
        </w:rPr>
        <w:t>Figure 1</w:t>
      </w:r>
      <w:r w:rsidR="007A5A4B">
        <w:rPr>
          <w:rFonts w:ascii="Times New Roman" w:hAnsi="Times New Roman"/>
          <w:sz w:val="24"/>
        </w:rPr>
        <w:t xml:space="preserve">.6. </w:t>
      </w:r>
      <w:r w:rsidR="00DB0D0F">
        <w:rPr>
          <w:rFonts w:ascii="Times New Roman" w:hAnsi="Times New Roman"/>
          <w:sz w:val="24"/>
        </w:rPr>
        <w:t xml:space="preserve"> </w:t>
      </w:r>
      <w:proofErr w:type="gramStart"/>
      <w:r w:rsidR="007A5A4B">
        <w:rPr>
          <w:rFonts w:ascii="Times New Roman" w:hAnsi="Times New Roman"/>
          <w:sz w:val="24"/>
        </w:rPr>
        <w:t>Percent food insecurity</w:t>
      </w:r>
      <w:r w:rsidR="008D710F">
        <w:rPr>
          <w:rFonts w:ascii="Times New Roman" w:hAnsi="Times New Roman"/>
          <w:sz w:val="24"/>
        </w:rPr>
        <w:t xml:space="preserve"> comparing remote versus non-remote for Children in Households</w:t>
      </w:r>
      <w:r w:rsidR="007A5A4B">
        <w:rPr>
          <w:noProof/>
        </w:rPr>
        <w:br/>
      </w:r>
      <w:r w:rsidR="007A5A4B" w:rsidRPr="00684AA3">
        <w:rPr>
          <w:noProof/>
          <w:lang w:eastAsia="zh-TW"/>
        </w:rPr>
        <w:drawing>
          <wp:inline distT="0" distB="0" distL="0" distR="0">
            <wp:extent cx="4556191" cy="1645714"/>
            <wp:effectExtent l="25400" t="0" r="0" b="0"/>
            <wp:docPr id="14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4556191" cy="1645714"/>
                    </a:xfrm>
                    <a:prstGeom prst="rect">
                      <a:avLst/>
                    </a:prstGeom>
                    <a:noFill/>
                    <a:ln w="9525">
                      <a:noFill/>
                      <a:miter lim="800000"/>
                      <a:headEnd/>
                      <a:tailEnd/>
                    </a:ln>
                  </pic:spPr>
                </pic:pic>
              </a:graphicData>
            </a:graphic>
          </wp:inline>
        </w:drawing>
      </w:r>
      <w:r w:rsidR="007A5A4B">
        <w:rPr>
          <w:noProof/>
        </w:rPr>
        <w:br/>
      </w:r>
      <w:r w:rsidR="007A5A4B">
        <w:rPr>
          <w:rFonts w:ascii="Times New Roman" w:hAnsi="Times New Roman"/>
          <w:sz w:val="24"/>
        </w:rPr>
        <w:t>*(weighted by sample size) in households with children compared by remoteness.</w:t>
      </w:r>
      <w:proofErr w:type="gramEnd"/>
      <w:r w:rsidR="007A5A4B">
        <w:rPr>
          <w:rFonts w:ascii="Times New Roman" w:hAnsi="Times New Roman"/>
          <w:sz w:val="24"/>
        </w:rPr>
        <w:t xml:space="preserve"> Remote communities had no road access.</w:t>
      </w:r>
      <w:r w:rsidR="00DB0D0F">
        <w:rPr>
          <w:rFonts w:ascii="Times New Roman" w:hAnsi="Times New Roman"/>
          <w:sz w:val="24"/>
        </w:rPr>
        <w:t xml:space="preserve"> </w:t>
      </w:r>
      <w:r w:rsidR="007A5A4B">
        <w:rPr>
          <w:rFonts w:ascii="Times New Roman" w:hAnsi="Times New Roman"/>
          <w:sz w:val="24"/>
        </w:rPr>
        <w:t xml:space="preserve"> The number of communities in each grouping is indicated in brackets.</w:t>
      </w:r>
      <w:r w:rsidR="008D710F">
        <w:rPr>
          <w:rFonts w:ascii="Times New Roman" w:hAnsi="Times New Roman"/>
          <w:sz w:val="24"/>
        </w:rPr>
        <w:t xml:space="preserve"> 95% confidence intervals are indicated.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434"/>
        <w:gridCol w:w="4428"/>
      </w:tblGrid>
      <w:tr w:rsidR="007A5A4B" w:rsidRPr="00CA5A2B">
        <w:tc>
          <w:tcPr>
            <w:tcW w:w="4788" w:type="dxa"/>
          </w:tcPr>
          <w:p w:rsidR="007A5A4B" w:rsidRPr="00CA5A2B" w:rsidRDefault="007A5A4B" w:rsidP="007A5A4B">
            <w:pPr>
              <w:spacing w:line="240" w:lineRule="auto"/>
              <w:rPr>
                <w:rFonts w:ascii="Times New Roman" w:hAnsi="Times New Roman"/>
                <w:sz w:val="24"/>
              </w:rPr>
            </w:pPr>
            <w:r w:rsidRPr="001A1002">
              <w:rPr>
                <w:rFonts w:ascii="Times New Roman" w:hAnsi="Times New Roman"/>
                <w:sz w:val="24"/>
              </w:rPr>
              <w:t>Remote</w:t>
            </w:r>
            <w:r>
              <w:rPr>
                <w:rFonts w:ascii="Times New Roman" w:hAnsi="Times New Roman"/>
                <w:sz w:val="24"/>
              </w:rPr>
              <w:t xml:space="preserve"> Communities</w:t>
            </w:r>
          </w:p>
        </w:tc>
        <w:tc>
          <w:tcPr>
            <w:tcW w:w="4788" w:type="dxa"/>
          </w:tcPr>
          <w:p w:rsidR="007A5A4B" w:rsidRPr="00CA5A2B" w:rsidRDefault="007A5A4B" w:rsidP="007A5A4B">
            <w:pPr>
              <w:spacing w:line="240" w:lineRule="auto"/>
              <w:rPr>
                <w:rFonts w:ascii="Times New Roman" w:hAnsi="Times New Roman"/>
                <w:sz w:val="24"/>
              </w:rPr>
            </w:pPr>
            <w:r w:rsidRPr="001A1002">
              <w:rPr>
                <w:rFonts w:ascii="Times New Roman" w:hAnsi="Times New Roman"/>
                <w:sz w:val="24"/>
              </w:rPr>
              <w:t>Non-Remote</w:t>
            </w:r>
            <w:r>
              <w:rPr>
                <w:rFonts w:ascii="Times New Roman" w:hAnsi="Times New Roman"/>
                <w:sz w:val="24"/>
              </w:rPr>
              <w:t xml:space="preserve"> Communities</w:t>
            </w:r>
          </w:p>
        </w:tc>
      </w:tr>
      <w:tr w:rsidR="007A5A4B" w:rsidRPr="00CA5A2B">
        <w:trPr>
          <w:trHeight w:val="971"/>
        </w:trPr>
        <w:tc>
          <w:tcPr>
            <w:tcW w:w="4788" w:type="dxa"/>
          </w:tcPr>
          <w:p w:rsidR="007A5A4B" w:rsidRPr="00CA5A2B" w:rsidRDefault="007A5A4B" w:rsidP="007A5A4B">
            <w:pPr>
              <w:spacing w:line="240" w:lineRule="auto"/>
              <w:rPr>
                <w:rFonts w:ascii="Times New Roman" w:hAnsi="Times New Roman"/>
                <w:sz w:val="24"/>
              </w:rPr>
            </w:pPr>
            <w:proofErr w:type="spellStart"/>
            <w:r w:rsidRPr="001A1002">
              <w:rPr>
                <w:rFonts w:ascii="Times New Roman" w:hAnsi="Times New Roman"/>
                <w:sz w:val="24"/>
              </w:rPr>
              <w:t>Berens</w:t>
            </w:r>
            <w:proofErr w:type="spellEnd"/>
            <w:r w:rsidRPr="001A1002">
              <w:rPr>
                <w:rFonts w:ascii="Times New Roman" w:hAnsi="Times New Roman"/>
                <w:sz w:val="24"/>
              </w:rPr>
              <w:t xml:space="preserve"> River, </w:t>
            </w:r>
            <w:proofErr w:type="spellStart"/>
            <w:r w:rsidRPr="001A1002">
              <w:rPr>
                <w:rFonts w:ascii="Times New Roman" w:hAnsi="Times New Roman"/>
                <w:sz w:val="24"/>
              </w:rPr>
              <w:t>Broche</w:t>
            </w:r>
            <w:r>
              <w:rPr>
                <w:rFonts w:ascii="Times New Roman" w:hAnsi="Times New Roman"/>
                <w:sz w:val="24"/>
              </w:rPr>
              <w:t>t</w:t>
            </w:r>
            <w:proofErr w:type="spellEnd"/>
            <w:r>
              <w:rPr>
                <w:rFonts w:ascii="Times New Roman" w:hAnsi="Times New Roman"/>
                <w:sz w:val="24"/>
              </w:rPr>
              <w:t xml:space="preserve">, Garden Hill, Granville Lake, </w:t>
            </w:r>
            <w:proofErr w:type="spellStart"/>
            <w:r>
              <w:rPr>
                <w:rFonts w:ascii="Times New Roman" w:hAnsi="Times New Roman"/>
                <w:sz w:val="24"/>
              </w:rPr>
              <w:t>Ilford</w:t>
            </w:r>
            <w:proofErr w:type="spellEnd"/>
            <w:r>
              <w:rPr>
                <w:rFonts w:ascii="Times New Roman" w:hAnsi="Times New Roman"/>
                <w:sz w:val="24"/>
              </w:rPr>
              <w:t xml:space="preserve">, </w:t>
            </w:r>
            <w:r w:rsidRPr="001A1002">
              <w:rPr>
                <w:rFonts w:ascii="Times New Roman" w:hAnsi="Times New Roman"/>
                <w:sz w:val="24"/>
              </w:rPr>
              <w:t xml:space="preserve">Red Sucker Lake, St. Theresa Point, Thicket Portage, </w:t>
            </w:r>
            <w:proofErr w:type="spellStart"/>
            <w:r w:rsidRPr="001A1002">
              <w:rPr>
                <w:rFonts w:ascii="Times New Roman" w:hAnsi="Times New Roman"/>
                <w:sz w:val="24"/>
              </w:rPr>
              <w:t>Wasagamack</w:t>
            </w:r>
            <w:proofErr w:type="spellEnd"/>
            <w:r>
              <w:rPr>
                <w:rFonts w:ascii="Times New Roman" w:hAnsi="Times New Roman"/>
                <w:sz w:val="24"/>
              </w:rPr>
              <w:t>, War Lake</w:t>
            </w:r>
          </w:p>
        </w:tc>
        <w:tc>
          <w:tcPr>
            <w:tcW w:w="4788" w:type="dxa"/>
          </w:tcPr>
          <w:p w:rsidR="007A5A4B" w:rsidRPr="00CA5A2B" w:rsidRDefault="007A5A4B" w:rsidP="007A5A4B">
            <w:pPr>
              <w:spacing w:line="240" w:lineRule="auto"/>
              <w:rPr>
                <w:rFonts w:ascii="Times New Roman" w:hAnsi="Times New Roman"/>
                <w:sz w:val="24"/>
              </w:rPr>
            </w:pPr>
            <w:r w:rsidRPr="001A1002">
              <w:rPr>
                <w:rFonts w:ascii="Times New Roman" w:hAnsi="Times New Roman"/>
                <w:sz w:val="24"/>
              </w:rPr>
              <w:t>Leaf Rapids, Lynn Lake, Nelson House, South Indian Lake</w:t>
            </w:r>
          </w:p>
        </w:tc>
      </w:tr>
    </w:tbl>
    <w:p w:rsidR="007A5A4B" w:rsidRPr="00BD51DF" w:rsidRDefault="007A5A4B" w:rsidP="00531A8D">
      <w:pPr>
        <w:rPr>
          <w:rFonts w:ascii="Times New Roman Bold" w:hAnsi="Times New Roman Bold"/>
          <w:b/>
          <w:color w:val="000000" w:themeColor="text1"/>
          <w:sz w:val="24"/>
        </w:rPr>
      </w:pPr>
      <w:r>
        <w:rPr>
          <w:noProof/>
        </w:rPr>
        <w:br/>
      </w:r>
      <w:bookmarkStart w:id="3" w:name="_Toc117847054"/>
      <w:bookmarkStart w:id="4" w:name="_Toc117698966"/>
      <w:r w:rsidRPr="00BD51DF">
        <w:rPr>
          <w:rFonts w:ascii="Times New Roman Bold" w:hAnsi="Times New Roman Bold"/>
          <w:b/>
          <w:color w:val="000000" w:themeColor="text1"/>
          <w:sz w:val="24"/>
        </w:rPr>
        <w:t>Conclusion</w:t>
      </w:r>
      <w:bookmarkEnd w:id="3"/>
      <w:bookmarkEnd w:id="4"/>
    </w:p>
    <w:p w:rsidR="007A5A4B" w:rsidRPr="007B66EF" w:rsidRDefault="00F31D7C" w:rsidP="00414B4C">
      <w:pPr>
        <w:rPr>
          <w:rFonts w:ascii="Times New Roman" w:hAnsi="Times New Roman"/>
          <w:sz w:val="24"/>
          <w:szCs w:val="32"/>
        </w:rPr>
      </w:pPr>
      <w:r>
        <w:rPr>
          <w:rFonts w:ascii="Times New Roman" w:hAnsi="Times New Roman"/>
          <w:sz w:val="24"/>
        </w:rPr>
        <w:t xml:space="preserve">No. Healthy food is not on the table in Northern Manitoba. The great majority of people (75%) in Northern Manitoba cannot afford to eat healthy due to high prices. </w:t>
      </w:r>
      <w:r w:rsidR="007A5A4B" w:rsidRPr="009B3F03">
        <w:rPr>
          <w:rFonts w:ascii="Times New Roman" w:hAnsi="Times New Roman"/>
          <w:sz w:val="24"/>
        </w:rPr>
        <w:t xml:space="preserve">To put </w:t>
      </w:r>
      <w:r w:rsidR="007A5A4B">
        <w:rPr>
          <w:rFonts w:ascii="Times New Roman" w:hAnsi="Times New Roman"/>
          <w:sz w:val="24"/>
        </w:rPr>
        <w:t>these findings in perspective</w:t>
      </w:r>
      <w:r w:rsidR="007A5A4B" w:rsidRPr="009B3F03">
        <w:rPr>
          <w:rFonts w:ascii="Times New Roman" w:hAnsi="Times New Roman"/>
          <w:sz w:val="24"/>
        </w:rPr>
        <w:t xml:space="preserve">, </w:t>
      </w:r>
      <w:r w:rsidR="007A5A4B">
        <w:rPr>
          <w:rFonts w:ascii="Times New Roman" w:hAnsi="Times New Roman"/>
          <w:sz w:val="24"/>
        </w:rPr>
        <w:t xml:space="preserve">less than </w:t>
      </w:r>
      <w:r w:rsidR="007A5A4B" w:rsidRPr="009B3F03">
        <w:rPr>
          <w:rFonts w:ascii="Times New Roman" w:hAnsi="Times New Roman"/>
          <w:sz w:val="24"/>
        </w:rPr>
        <w:t xml:space="preserve">one-tenth of </w:t>
      </w:r>
      <w:r w:rsidR="007A5A4B">
        <w:rPr>
          <w:rFonts w:ascii="Times New Roman" w:hAnsi="Times New Roman"/>
          <w:sz w:val="24"/>
        </w:rPr>
        <w:t xml:space="preserve">non-reserve </w:t>
      </w:r>
      <w:r w:rsidR="007A5A4B" w:rsidRPr="009B3F03">
        <w:rPr>
          <w:rFonts w:ascii="Times New Roman" w:hAnsi="Times New Roman"/>
          <w:sz w:val="24"/>
        </w:rPr>
        <w:t>Canadian households (6% moderate and 3% severe=9</w:t>
      </w:r>
      <w:r w:rsidR="007A5A4B">
        <w:rPr>
          <w:rFonts w:ascii="Times New Roman" w:hAnsi="Times New Roman"/>
          <w:sz w:val="24"/>
        </w:rPr>
        <w:t>.2</w:t>
      </w:r>
      <w:r w:rsidR="007A5A4B" w:rsidRPr="009B3F03">
        <w:rPr>
          <w:rFonts w:ascii="Times New Roman" w:hAnsi="Times New Roman"/>
          <w:sz w:val="24"/>
        </w:rPr>
        <w:t xml:space="preserve">%) (Health Canada, 2007 p. 16) </w:t>
      </w:r>
      <w:r w:rsidR="007A5A4B">
        <w:rPr>
          <w:rFonts w:ascii="Times New Roman" w:hAnsi="Times New Roman"/>
          <w:sz w:val="24"/>
        </w:rPr>
        <w:t xml:space="preserve">experienced food insecurity, </w:t>
      </w:r>
      <w:r w:rsidR="007A5A4B" w:rsidRPr="009B3F03">
        <w:rPr>
          <w:rFonts w:ascii="Times New Roman" w:hAnsi="Times New Roman"/>
          <w:sz w:val="24"/>
        </w:rPr>
        <w:t>compared with three-quarters of the ho</w:t>
      </w:r>
      <w:r w:rsidR="007A5A4B">
        <w:rPr>
          <w:rFonts w:ascii="Times New Roman" w:hAnsi="Times New Roman"/>
          <w:sz w:val="24"/>
        </w:rPr>
        <w:t>useholds</w:t>
      </w:r>
      <w:r w:rsidR="007A5A4B" w:rsidRPr="009B3F03">
        <w:rPr>
          <w:rFonts w:ascii="Times New Roman" w:hAnsi="Times New Roman"/>
          <w:sz w:val="24"/>
        </w:rPr>
        <w:t xml:space="preserve"> in Northern Manitoba</w:t>
      </w:r>
      <w:r w:rsidR="00CB024F">
        <w:rPr>
          <w:rFonts w:ascii="Times New Roman" w:hAnsi="Times New Roman"/>
          <w:sz w:val="24"/>
        </w:rPr>
        <w:t xml:space="preserve"> – an eight</w:t>
      </w:r>
      <w:r w:rsidR="007A5A4B">
        <w:rPr>
          <w:rFonts w:ascii="Times New Roman" w:hAnsi="Times New Roman"/>
          <w:sz w:val="24"/>
        </w:rPr>
        <w:t>-fold difference</w:t>
      </w:r>
      <w:r w:rsidR="00CE399F">
        <w:rPr>
          <w:rFonts w:ascii="Times New Roman" w:hAnsi="Times New Roman"/>
          <w:sz w:val="24"/>
        </w:rPr>
        <w:t>. These h</w:t>
      </w:r>
      <w:r>
        <w:rPr>
          <w:rFonts w:ascii="Times New Roman" w:hAnsi="Times New Roman"/>
          <w:sz w:val="24"/>
        </w:rPr>
        <w:t>ouseholds</w:t>
      </w:r>
      <w:r w:rsidR="007A5A4B" w:rsidRPr="009B3F03">
        <w:rPr>
          <w:rFonts w:ascii="Times New Roman" w:hAnsi="Times New Roman"/>
          <w:sz w:val="24"/>
        </w:rPr>
        <w:t xml:space="preserve"> have much higher rates of food </w:t>
      </w:r>
      <w:r w:rsidR="007A5A4B">
        <w:rPr>
          <w:rFonts w:ascii="Times New Roman" w:hAnsi="Times New Roman"/>
          <w:sz w:val="24"/>
        </w:rPr>
        <w:t>in</w:t>
      </w:r>
      <w:r w:rsidR="007A5A4B" w:rsidRPr="009B3F03">
        <w:rPr>
          <w:rFonts w:ascii="Times New Roman" w:hAnsi="Times New Roman"/>
          <w:sz w:val="24"/>
        </w:rPr>
        <w:t>security, particularly severe food insecurity,</w:t>
      </w:r>
      <w:r w:rsidR="007102AF">
        <w:rPr>
          <w:rFonts w:ascii="Times New Roman" w:hAnsi="Times New Roman"/>
          <w:sz w:val="24"/>
        </w:rPr>
        <w:t xml:space="preserve"> than other populations including </w:t>
      </w:r>
      <w:r w:rsidR="007A5A4B">
        <w:rPr>
          <w:rFonts w:ascii="Times New Roman" w:hAnsi="Times New Roman"/>
          <w:sz w:val="24"/>
        </w:rPr>
        <w:t xml:space="preserve">off-reserve Aboriginals across Canada: </w:t>
      </w:r>
      <w:r w:rsidR="007A5A4B" w:rsidRPr="009B3F03">
        <w:rPr>
          <w:rFonts w:ascii="Times New Roman" w:hAnsi="Times New Roman"/>
          <w:sz w:val="24"/>
        </w:rPr>
        <w:t xml:space="preserve">across the nation one-third of households of </w:t>
      </w:r>
      <w:r w:rsidR="007A5A4B">
        <w:rPr>
          <w:rFonts w:ascii="Times New Roman" w:hAnsi="Times New Roman"/>
          <w:sz w:val="24"/>
        </w:rPr>
        <w:t xml:space="preserve">off-reserve </w:t>
      </w:r>
      <w:r w:rsidR="007A5A4B" w:rsidRPr="009B3F03">
        <w:rPr>
          <w:rFonts w:ascii="Times New Roman" w:hAnsi="Times New Roman"/>
          <w:sz w:val="24"/>
        </w:rPr>
        <w:t xml:space="preserve">Aboriginals experienced food insecurity (19% </w:t>
      </w:r>
      <w:r w:rsidR="007A5A4B">
        <w:rPr>
          <w:rFonts w:ascii="Times New Roman" w:hAnsi="Times New Roman"/>
          <w:sz w:val="24"/>
        </w:rPr>
        <w:t>moderate and 14% severe=33%)</w:t>
      </w:r>
      <w:r w:rsidR="007B66EF">
        <w:rPr>
          <w:rFonts w:ascii="Times New Roman" w:hAnsi="Times New Roman"/>
          <w:sz w:val="24"/>
        </w:rPr>
        <w:t>, as measured by Health Canada (2004)</w:t>
      </w:r>
      <w:r w:rsidR="007A5A4B">
        <w:rPr>
          <w:rFonts w:ascii="Times New Roman" w:hAnsi="Times New Roman"/>
          <w:sz w:val="24"/>
        </w:rPr>
        <w:t>.</w:t>
      </w:r>
      <w:r w:rsidR="007A5A4B" w:rsidRPr="009B3F03">
        <w:rPr>
          <w:rFonts w:ascii="Times New Roman" w:hAnsi="Times New Roman"/>
          <w:sz w:val="24"/>
        </w:rPr>
        <w:t xml:space="preserve"> </w:t>
      </w:r>
      <w:r w:rsidR="00BD51DF">
        <w:rPr>
          <w:rFonts w:ascii="Times New Roman" w:hAnsi="Times New Roman"/>
          <w:sz w:val="24"/>
        </w:rPr>
        <w:t xml:space="preserve">Communities without road access have greater levels of food insecurity than those with road access. </w:t>
      </w:r>
      <w:r w:rsidR="007A5A4B" w:rsidRPr="009B3F03">
        <w:rPr>
          <w:rFonts w:ascii="Times New Roman" w:hAnsi="Times New Roman"/>
          <w:sz w:val="24"/>
        </w:rPr>
        <w:t xml:space="preserve">These rates show a food security crisis in </w:t>
      </w:r>
      <w:r w:rsidR="007A5A4B">
        <w:rPr>
          <w:rFonts w:ascii="Times New Roman" w:hAnsi="Times New Roman"/>
          <w:sz w:val="24"/>
        </w:rPr>
        <w:t xml:space="preserve">Manitoba’s </w:t>
      </w:r>
      <w:r w:rsidR="00BD51DF">
        <w:rPr>
          <w:rFonts w:ascii="Times New Roman" w:hAnsi="Times New Roman"/>
          <w:sz w:val="24"/>
        </w:rPr>
        <w:t xml:space="preserve">Northern </w:t>
      </w:r>
      <w:r w:rsidR="007A5A4B" w:rsidRPr="009B3F03">
        <w:rPr>
          <w:rFonts w:ascii="Times New Roman" w:hAnsi="Times New Roman"/>
          <w:sz w:val="24"/>
        </w:rPr>
        <w:t xml:space="preserve">communities </w:t>
      </w:r>
      <w:r w:rsidR="007A5A4B">
        <w:rPr>
          <w:rFonts w:ascii="Times New Roman" w:hAnsi="Times New Roman"/>
          <w:sz w:val="24"/>
        </w:rPr>
        <w:t xml:space="preserve">(First Nation and Northern Affairs communities) </w:t>
      </w:r>
      <w:r w:rsidR="007A5A4B" w:rsidRPr="009B3F03">
        <w:rPr>
          <w:rFonts w:ascii="Times New Roman" w:hAnsi="Times New Roman"/>
          <w:sz w:val="24"/>
        </w:rPr>
        <w:t>that needs immediate attention and dedicated resources.</w:t>
      </w:r>
      <w:r w:rsidR="007A5A4B">
        <w:rPr>
          <w:rFonts w:ascii="Times New Roman" w:hAnsi="Times New Roman"/>
          <w:sz w:val="24"/>
        </w:rPr>
        <w:t xml:space="preserve"> The great majority of households had either </w:t>
      </w:r>
      <w:r w:rsidR="007A5A4B">
        <w:rPr>
          <w:rFonts w:ascii="Times New Roman" w:hAnsi="Times New Roman"/>
          <w:sz w:val="24"/>
          <w:szCs w:val="32"/>
        </w:rPr>
        <w:t>reduced food intake and disrupted food patterns or reduced quality or quantity of food.</w:t>
      </w:r>
      <w:r>
        <w:rPr>
          <w:rFonts w:ascii="Times New Roman" w:hAnsi="Times New Roman"/>
          <w:sz w:val="24"/>
          <w:szCs w:val="32"/>
        </w:rPr>
        <w:t xml:space="preserve"> As well, as </w:t>
      </w:r>
      <w:r w:rsidR="007102AF">
        <w:rPr>
          <w:rFonts w:ascii="Times New Roman" w:hAnsi="Times New Roman"/>
          <w:sz w:val="24"/>
          <w:szCs w:val="32"/>
        </w:rPr>
        <w:t>long-</w:t>
      </w:r>
      <w:r>
        <w:rPr>
          <w:rFonts w:ascii="Times New Roman" w:hAnsi="Times New Roman"/>
          <w:sz w:val="24"/>
          <w:szCs w:val="32"/>
        </w:rPr>
        <w:t xml:space="preserve">term </w:t>
      </w:r>
      <w:r w:rsidR="008D710F">
        <w:rPr>
          <w:rFonts w:ascii="Times New Roman" w:hAnsi="Times New Roman"/>
          <w:sz w:val="24"/>
          <w:szCs w:val="32"/>
        </w:rPr>
        <w:t xml:space="preserve">sustainable </w:t>
      </w:r>
      <w:r>
        <w:rPr>
          <w:rFonts w:ascii="Times New Roman" w:hAnsi="Times New Roman"/>
          <w:sz w:val="24"/>
          <w:szCs w:val="32"/>
        </w:rPr>
        <w:t>solutions</w:t>
      </w:r>
      <w:r w:rsidR="008D710F">
        <w:rPr>
          <w:rFonts w:ascii="Times New Roman" w:hAnsi="Times New Roman"/>
          <w:sz w:val="24"/>
          <w:szCs w:val="32"/>
        </w:rPr>
        <w:t xml:space="preserve"> being needed</w:t>
      </w:r>
      <w:r>
        <w:rPr>
          <w:rFonts w:ascii="Times New Roman" w:hAnsi="Times New Roman"/>
          <w:sz w:val="24"/>
          <w:szCs w:val="32"/>
        </w:rPr>
        <w:t>, i</w:t>
      </w:r>
      <w:r w:rsidR="007B66EF">
        <w:rPr>
          <w:rFonts w:ascii="Times New Roman" w:hAnsi="Times New Roman"/>
          <w:sz w:val="24"/>
          <w:szCs w:val="32"/>
        </w:rPr>
        <w:t>mmediate action should be taken</w:t>
      </w:r>
      <w:r w:rsidR="008D710F">
        <w:rPr>
          <w:rFonts w:ascii="Times New Roman" w:hAnsi="Times New Roman"/>
          <w:sz w:val="24"/>
          <w:szCs w:val="32"/>
        </w:rPr>
        <w:t>, particularly in remote communities, to prevent food insecurity</w:t>
      </w:r>
      <w:r w:rsidR="007B66EF">
        <w:rPr>
          <w:rFonts w:ascii="Times New Roman" w:hAnsi="Times New Roman"/>
          <w:sz w:val="24"/>
          <w:szCs w:val="32"/>
        </w:rPr>
        <w:t xml:space="preserve">. </w:t>
      </w:r>
    </w:p>
    <w:sectPr w:rsidR="007A5A4B" w:rsidRPr="007B66EF" w:rsidSect="00871D70">
      <w:headerReference w:type="even" r:id="rId15"/>
      <w:pgSz w:w="12240" w:h="15840"/>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FA" w:rsidRDefault="005C7EFA">
      <w:pPr>
        <w:spacing w:after="0" w:line="240" w:lineRule="auto"/>
      </w:pPr>
      <w:r>
        <w:separator/>
      </w:r>
    </w:p>
  </w:endnote>
  <w:endnote w:type="continuationSeparator" w:id="0">
    <w:p w:rsidR="005C7EFA" w:rsidRDefault="005C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FA" w:rsidRDefault="005C7EFA">
      <w:pPr>
        <w:spacing w:after="0" w:line="240" w:lineRule="auto"/>
      </w:pPr>
      <w:r>
        <w:separator/>
      </w:r>
    </w:p>
  </w:footnote>
  <w:footnote w:type="continuationSeparator" w:id="0">
    <w:p w:rsidR="005C7EFA" w:rsidRDefault="005C7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70" w:rsidRDefault="005C7E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56.8pt;height:152.25pt;rotation:315;z-index:-251648000;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black" stroked="f">
          <v:fill opacity="13107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AACFBCE"/>
    <w:lvl w:ilvl="0" w:tplc="B1DCFAF2">
      <w:numFmt w:val="none"/>
      <w:lvlText w:val=""/>
      <w:lvlJc w:val="left"/>
      <w:pPr>
        <w:tabs>
          <w:tab w:val="num" w:pos="360"/>
        </w:tabs>
      </w:pPr>
    </w:lvl>
    <w:lvl w:ilvl="1" w:tplc="B40A7F6A">
      <w:numFmt w:val="none"/>
      <w:lvlText w:val=""/>
      <w:lvlJc w:val="left"/>
      <w:pPr>
        <w:tabs>
          <w:tab w:val="num" w:pos="360"/>
        </w:tabs>
      </w:pPr>
    </w:lvl>
    <w:lvl w:ilvl="2" w:tplc="7AC69C94">
      <w:numFmt w:val="decimal"/>
      <w:lvlText w:val=""/>
      <w:lvlJc w:val="left"/>
    </w:lvl>
    <w:lvl w:ilvl="3" w:tplc="6CFC8244">
      <w:numFmt w:val="decimal"/>
      <w:lvlText w:val=""/>
      <w:lvlJc w:val="left"/>
    </w:lvl>
    <w:lvl w:ilvl="4" w:tplc="F73088D6">
      <w:numFmt w:val="decimal"/>
      <w:lvlText w:val=""/>
      <w:lvlJc w:val="left"/>
    </w:lvl>
    <w:lvl w:ilvl="5" w:tplc="04B8781A">
      <w:numFmt w:val="decimal"/>
      <w:lvlText w:val=""/>
      <w:lvlJc w:val="left"/>
    </w:lvl>
    <w:lvl w:ilvl="6" w:tplc="F25E9CE6">
      <w:numFmt w:val="decimal"/>
      <w:lvlText w:val=""/>
      <w:lvlJc w:val="left"/>
    </w:lvl>
    <w:lvl w:ilvl="7" w:tplc="B30A2FCC">
      <w:numFmt w:val="decimal"/>
      <w:lvlText w:val=""/>
      <w:lvlJc w:val="left"/>
    </w:lvl>
    <w:lvl w:ilvl="8" w:tplc="345AE550">
      <w:numFmt w:val="decimal"/>
      <w:lvlText w:val=""/>
      <w:lvlJc w:val="left"/>
    </w:lvl>
  </w:abstractNum>
  <w:abstractNum w:abstractNumId="1">
    <w:nsid w:val="01F54EE1"/>
    <w:multiLevelType w:val="hybridMultilevel"/>
    <w:tmpl w:val="8090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62B49"/>
    <w:multiLevelType w:val="hybridMultilevel"/>
    <w:tmpl w:val="A762D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3020916"/>
    <w:multiLevelType w:val="multilevel"/>
    <w:tmpl w:val="A3685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EB30F7D"/>
    <w:multiLevelType w:val="hybridMultilevel"/>
    <w:tmpl w:val="D5944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783477"/>
    <w:multiLevelType w:val="hybridMultilevel"/>
    <w:tmpl w:val="E174C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55394"/>
    <w:multiLevelType w:val="hybridMultilevel"/>
    <w:tmpl w:val="472E3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983D8F"/>
    <w:multiLevelType w:val="hybridMultilevel"/>
    <w:tmpl w:val="97BC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F22BE"/>
    <w:multiLevelType w:val="hybridMultilevel"/>
    <w:tmpl w:val="13866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026482"/>
    <w:multiLevelType w:val="hybridMultilevel"/>
    <w:tmpl w:val="DB5E52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76389"/>
    <w:multiLevelType w:val="multilevel"/>
    <w:tmpl w:val="A33CCA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FD670E"/>
    <w:multiLevelType w:val="multilevel"/>
    <w:tmpl w:val="24FC2F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214995"/>
    <w:multiLevelType w:val="hybridMultilevel"/>
    <w:tmpl w:val="31AE4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86789"/>
    <w:multiLevelType w:val="hybridMultilevel"/>
    <w:tmpl w:val="6A2EC1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67234C"/>
    <w:multiLevelType w:val="hybridMultilevel"/>
    <w:tmpl w:val="B1AA4E9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0202FED"/>
    <w:multiLevelType w:val="hybridMultilevel"/>
    <w:tmpl w:val="0BDAF4EC"/>
    <w:lvl w:ilvl="0" w:tplc="343A1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855205"/>
    <w:multiLevelType w:val="hybridMultilevel"/>
    <w:tmpl w:val="BFD25E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0A271E"/>
    <w:multiLevelType w:val="hybridMultilevel"/>
    <w:tmpl w:val="BFC2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F3B45"/>
    <w:multiLevelType w:val="hybridMultilevel"/>
    <w:tmpl w:val="0E24F1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AC6A1A"/>
    <w:multiLevelType w:val="multilevel"/>
    <w:tmpl w:val="F22C30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1FD7B4D"/>
    <w:multiLevelType w:val="hybridMultilevel"/>
    <w:tmpl w:val="3496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E41EB"/>
    <w:multiLevelType w:val="hybridMultilevel"/>
    <w:tmpl w:val="0F6AD8AA"/>
    <w:lvl w:ilvl="0" w:tplc="D5A80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860C3"/>
    <w:multiLevelType w:val="hybridMultilevel"/>
    <w:tmpl w:val="20AEF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9D013A1"/>
    <w:multiLevelType w:val="hybridMultilevel"/>
    <w:tmpl w:val="606C9708"/>
    <w:lvl w:ilvl="0" w:tplc="E6D40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E73D12"/>
    <w:multiLevelType w:val="hybridMultilevel"/>
    <w:tmpl w:val="4516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9E29BC"/>
    <w:multiLevelType w:val="hybridMultilevel"/>
    <w:tmpl w:val="390E2E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23"/>
  </w:num>
  <w:num w:numId="3">
    <w:abstractNumId w:val="16"/>
  </w:num>
  <w:num w:numId="4">
    <w:abstractNumId w:val="13"/>
  </w:num>
  <w:num w:numId="5">
    <w:abstractNumId w:val="18"/>
  </w:num>
  <w:num w:numId="6">
    <w:abstractNumId w:val="24"/>
  </w:num>
  <w:num w:numId="7">
    <w:abstractNumId w:val="20"/>
  </w:num>
  <w:num w:numId="8">
    <w:abstractNumId w:val="11"/>
  </w:num>
  <w:num w:numId="9">
    <w:abstractNumId w:val="6"/>
  </w:num>
  <w:num w:numId="10">
    <w:abstractNumId w:val="2"/>
  </w:num>
  <w:num w:numId="11">
    <w:abstractNumId w:val="14"/>
  </w:num>
  <w:num w:numId="12">
    <w:abstractNumId w:val="22"/>
  </w:num>
  <w:num w:numId="13">
    <w:abstractNumId w:val="25"/>
  </w:num>
  <w:num w:numId="14">
    <w:abstractNumId w:val="5"/>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0"/>
  </w:num>
  <w:num w:numId="31">
    <w:abstractNumId w:val="4"/>
  </w:num>
  <w:num w:numId="32">
    <w:abstractNumId w:val="12"/>
  </w:num>
  <w:num w:numId="33">
    <w:abstractNumId w:val="19"/>
  </w:num>
  <w:num w:numId="34">
    <w:abstractNumId w:val="8"/>
  </w:num>
  <w:num w:numId="35">
    <w:abstractNumId w:val="1"/>
  </w:num>
  <w:num w:numId="36">
    <w:abstractNumId w:val="17"/>
  </w:num>
  <w:num w:numId="37">
    <w:abstractNumId w:val="21"/>
  </w:num>
  <w:num w:numId="38">
    <w:abstractNumId w:val="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7A5A4B"/>
    <w:rsid w:val="0005681A"/>
    <w:rsid w:val="00080FA2"/>
    <w:rsid w:val="00117F75"/>
    <w:rsid w:val="00171573"/>
    <w:rsid w:val="001D73EE"/>
    <w:rsid w:val="00251CC8"/>
    <w:rsid w:val="00376D86"/>
    <w:rsid w:val="00414B4C"/>
    <w:rsid w:val="00456F0B"/>
    <w:rsid w:val="00531A8D"/>
    <w:rsid w:val="005C7EFA"/>
    <w:rsid w:val="006346EB"/>
    <w:rsid w:val="006B0E56"/>
    <w:rsid w:val="007102AF"/>
    <w:rsid w:val="007743C5"/>
    <w:rsid w:val="007A5A4B"/>
    <w:rsid w:val="007B66EF"/>
    <w:rsid w:val="007D5EF9"/>
    <w:rsid w:val="00833709"/>
    <w:rsid w:val="00871D70"/>
    <w:rsid w:val="008D710F"/>
    <w:rsid w:val="00AF1A04"/>
    <w:rsid w:val="00AF213C"/>
    <w:rsid w:val="00AF4A2E"/>
    <w:rsid w:val="00BC57C4"/>
    <w:rsid w:val="00BD51DF"/>
    <w:rsid w:val="00BF2192"/>
    <w:rsid w:val="00C32980"/>
    <w:rsid w:val="00CB024F"/>
    <w:rsid w:val="00CB446A"/>
    <w:rsid w:val="00CE399F"/>
    <w:rsid w:val="00D811F5"/>
    <w:rsid w:val="00DB0D0F"/>
    <w:rsid w:val="00E04370"/>
    <w:rsid w:val="00E35843"/>
    <w:rsid w:val="00EB14D3"/>
    <w:rsid w:val="00EC6213"/>
    <w:rsid w:val="00F27E48"/>
    <w:rsid w:val="00F31D7C"/>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footnote reference" w:uiPriority="99"/>
    <w:lsdException w:name="Hyperlink" w:uiPriority="99"/>
    <w:lsdException w:name="Normal (Web)" w:uiPriority="99"/>
    <w:lsdException w:name="Balloon Text" w:uiPriority="99"/>
    <w:lsdException w:name="Table Grid" w:uiPriority="59"/>
    <w:lsdException w:name="No Spacing" w:uiPriority="1" w:qFormat="1"/>
    <w:lsdException w:name="List Paragraph" w:uiPriority="99" w:qFormat="1"/>
    <w:lsdException w:name="Medium Grid 2 Accent 3" w:uiPriority="68"/>
    <w:lsdException w:name="TOC Heading" w:uiPriority="39" w:qFormat="1"/>
  </w:latentStyles>
  <w:style w:type="paragraph" w:default="1" w:styleId="Normal">
    <w:name w:val="Normal"/>
    <w:qFormat/>
    <w:rsid w:val="007A5A4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A5A4B"/>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7A5A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5A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5A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7A5A4B"/>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7A5A4B"/>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7A5A4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1254A"/>
    <w:rPr>
      <w:rFonts w:ascii="Lucida Grande" w:hAnsi="Lucida Grande"/>
      <w:sz w:val="18"/>
      <w:szCs w:val="18"/>
    </w:rPr>
  </w:style>
  <w:style w:type="character" w:customStyle="1" w:styleId="BalloonTextChar0">
    <w:name w:val="Balloon Text Char"/>
    <w:basedOn w:val="DefaultParagraphFont"/>
    <w:uiPriority w:val="99"/>
    <w:semiHidden/>
    <w:rsid w:val="00F00ED8"/>
    <w:rPr>
      <w:rFonts w:ascii="Lucida Grande" w:hAnsi="Lucida Grande"/>
      <w:sz w:val="18"/>
      <w:szCs w:val="18"/>
    </w:rPr>
  </w:style>
  <w:style w:type="character" w:customStyle="1" w:styleId="Heading1Char">
    <w:name w:val="Heading 1 Char"/>
    <w:basedOn w:val="DefaultParagraphFont"/>
    <w:link w:val="Heading1"/>
    <w:uiPriority w:val="9"/>
    <w:rsid w:val="007A5A4B"/>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7A5A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5A4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7A5A4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7A5A4B"/>
    <w:rPr>
      <w:rFonts w:asciiTheme="majorHAnsi" w:eastAsiaTheme="majorEastAsia" w:hAnsiTheme="majorHAnsi" w:cstheme="majorBidi"/>
      <w:color w:val="244061" w:themeColor="accent1" w:themeShade="80"/>
      <w:sz w:val="22"/>
      <w:szCs w:val="22"/>
    </w:rPr>
  </w:style>
  <w:style w:type="character" w:customStyle="1" w:styleId="Heading6Char">
    <w:name w:val="Heading 6 Char"/>
    <w:basedOn w:val="DefaultParagraphFont"/>
    <w:link w:val="Heading6"/>
    <w:rsid w:val="007A5A4B"/>
    <w:rPr>
      <w:rFonts w:asciiTheme="majorHAnsi" w:eastAsiaTheme="majorEastAsia" w:hAnsiTheme="majorHAnsi" w:cstheme="majorBidi"/>
      <w:i/>
      <w:iCs/>
      <w:color w:val="244061" w:themeColor="accent1" w:themeShade="80"/>
      <w:sz w:val="22"/>
      <w:szCs w:val="22"/>
    </w:rPr>
  </w:style>
  <w:style w:type="character" w:customStyle="1" w:styleId="BalloonTextChar1">
    <w:name w:val="Balloon Text Char1"/>
    <w:basedOn w:val="DefaultParagraphFont"/>
    <w:link w:val="BalloonText"/>
    <w:uiPriority w:val="99"/>
    <w:rsid w:val="007A5A4B"/>
    <w:rPr>
      <w:rFonts w:ascii="Tahoma" w:eastAsia="Calibri" w:hAnsi="Tahoma" w:cs="Tahoma"/>
      <w:sz w:val="16"/>
      <w:szCs w:val="16"/>
    </w:rPr>
  </w:style>
  <w:style w:type="character" w:customStyle="1" w:styleId="BalloonTextChar2">
    <w:name w:val="Balloon Text Char"/>
    <w:basedOn w:val="DefaultParagraphFont"/>
    <w:uiPriority w:val="99"/>
    <w:rsid w:val="007A5A4B"/>
    <w:rPr>
      <w:rFonts w:ascii="Lucida Grande" w:eastAsia="Calibri" w:hAnsi="Lucida Grande" w:cs="Times New Roman"/>
      <w:sz w:val="18"/>
      <w:szCs w:val="18"/>
    </w:rPr>
  </w:style>
  <w:style w:type="paragraph" w:customStyle="1" w:styleId="bullet">
    <w:name w:val="bullet"/>
    <w:basedOn w:val="Normal"/>
    <w:uiPriority w:val="99"/>
    <w:rsid w:val="007A5A4B"/>
    <w:pPr>
      <w:spacing w:after="0" w:line="240" w:lineRule="auto"/>
    </w:pPr>
    <w:rPr>
      <w:rFonts w:eastAsia="Times New Roman"/>
      <w:sz w:val="24"/>
      <w:szCs w:val="20"/>
      <w:lang w:val="en-GB"/>
    </w:rPr>
  </w:style>
  <w:style w:type="paragraph" w:styleId="ListParagraph">
    <w:name w:val="List Paragraph"/>
    <w:basedOn w:val="Normal"/>
    <w:uiPriority w:val="99"/>
    <w:qFormat/>
    <w:rsid w:val="007A5A4B"/>
    <w:pPr>
      <w:ind w:left="720"/>
      <w:contextualSpacing/>
    </w:pPr>
  </w:style>
  <w:style w:type="paragraph" w:styleId="Header">
    <w:name w:val="header"/>
    <w:basedOn w:val="Normal"/>
    <w:link w:val="HeaderChar"/>
    <w:uiPriority w:val="99"/>
    <w:unhideWhenUsed/>
    <w:rsid w:val="007A5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A4B"/>
    <w:rPr>
      <w:rFonts w:ascii="Calibri" w:eastAsia="Calibri" w:hAnsi="Calibri" w:cs="Times New Roman"/>
      <w:sz w:val="22"/>
      <w:szCs w:val="22"/>
    </w:rPr>
  </w:style>
  <w:style w:type="paragraph" w:styleId="Footer">
    <w:name w:val="footer"/>
    <w:basedOn w:val="Normal"/>
    <w:link w:val="FooterChar"/>
    <w:uiPriority w:val="99"/>
    <w:unhideWhenUsed/>
    <w:rsid w:val="007A5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A4B"/>
    <w:rPr>
      <w:rFonts w:ascii="Calibri" w:eastAsia="Calibri" w:hAnsi="Calibri" w:cs="Times New Roman"/>
      <w:sz w:val="22"/>
      <w:szCs w:val="22"/>
    </w:rPr>
  </w:style>
  <w:style w:type="paragraph" w:styleId="NoSpacing">
    <w:name w:val="No Spacing"/>
    <w:link w:val="NoSpacingChar"/>
    <w:uiPriority w:val="1"/>
    <w:qFormat/>
    <w:rsid w:val="007A5A4B"/>
    <w:rPr>
      <w:rFonts w:eastAsiaTheme="minorEastAsia"/>
      <w:sz w:val="22"/>
      <w:szCs w:val="22"/>
    </w:rPr>
  </w:style>
  <w:style w:type="character" w:customStyle="1" w:styleId="NoSpacingChar">
    <w:name w:val="No Spacing Char"/>
    <w:basedOn w:val="DefaultParagraphFont"/>
    <w:link w:val="NoSpacing"/>
    <w:uiPriority w:val="1"/>
    <w:rsid w:val="007A5A4B"/>
    <w:rPr>
      <w:rFonts w:eastAsiaTheme="minorEastAsia"/>
      <w:sz w:val="22"/>
      <w:szCs w:val="22"/>
    </w:rPr>
  </w:style>
  <w:style w:type="paragraph" w:styleId="FootnoteText">
    <w:name w:val="footnote text"/>
    <w:basedOn w:val="Normal"/>
    <w:link w:val="FootnoteTextChar"/>
    <w:uiPriority w:val="99"/>
    <w:unhideWhenUsed/>
    <w:rsid w:val="007A5A4B"/>
    <w:pPr>
      <w:spacing w:after="0" w:line="240" w:lineRule="auto"/>
    </w:pPr>
    <w:rPr>
      <w:sz w:val="20"/>
      <w:szCs w:val="20"/>
    </w:rPr>
  </w:style>
  <w:style w:type="character" w:customStyle="1" w:styleId="FootnoteTextChar">
    <w:name w:val="Footnote Text Char"/>
    <w:basedOn w:val="DefaultParagraphFont"/>
    <w:link w:val="FootnoteText"/>
    <w:uiPriority w:val="99"/>
    <w:rsid w:val="007A5A4B"/>
    <w:rPr>
      <w:rFonts w:ascii="Calibri" w:eastAsia="Calibri" w:hAnsi="Calibri" w:cs="Times New Roman"/>
      <w:sz w:val="20"/>
      <w:szCs w:val="20"/>
    </w:rPr>
  </w:style>
  <w:style w:type="character" w:styleId="FootnoteReference">
    <w:name w:val="footnote reference"/>
    <w:basedOn w:val="DefaultParagraphFont"/>
    <w:uiPriority w:val="99"/>
    <w:unhideWhenUsed/>
    <w:rsid w:val="007A5A4B"/>
    <w:rPr>
      <w:vertAlign w:val="superscript"/>
    </w:rPr>
  </w:style>
  <w:style w:type="character" w:styleId="Hyperlink">
    <w:name w:val="Hyperlink"/>
    <w:basedOn w:val="DefaultParagraphFont"/>
    <w:uiPriority w:val="99"/>
    <w:unhideWhenUsed/>
    <w:rsid w:val="007A5A4B"/>
    <w:rPr>
      <w:color w:val="0000FF" w:themeColor="hyperlink"/>
      <w:u w:val="single"/>
    </w:rPr>
  </w:style>
  <w:style w:type="paragraph" w:styleId="TOCHeading">
    <w:name w:val="TOC Heading"/>
    <w:basedOn w:val="Heading1"/>
    <w:next w:val="Normal"/>
    <w:uiPriority w:val="39"/>
    <w:unhideWhenUsed/>
    <w:qFormat/>
    <w:rsid w:val="007A5A4B"/>
    <w:pPr>
      <w:outlineLvl w:val="9"/>
    </w:pPr>
    <w:rPr>
      <w:color w:val="365F91" w:themeColor="accent1" w:themeShade="BF"/>
      <w:sz w:val="28"/>
      <w:szCs w:val="28"/>
    </w:rPr>
  </w:style>
  <w:style w:type="paragraph" w:styleId="TOC1">
    <w:name w:val="toc 1"/>
    <w:basedOn w:val="Normal"/>
    <w:next w:val="Normal"/>
    <w:autoRedefine/>
    <w:uiPriority w:val="39"/>
    <w:unhideWhenUsed/>
    <w:rsid w:val="007A5A4B"/>
    <w:pPr>
      <w:spacing w:before="120" w:after="0"/>
    </w:pPr>
    <w:rPr>
      <w:rFonts w:asciiTheme="minorHAnsi" w:hAnsiTheme="minorHAnsi"/>
      <w:b/>
      <w:caps/>
    </w:rPr>
  </w:style>
  <w:style w:type="paragraph" w:styleId="TOC2">
    <w:name w:val="toc 2"/>
    <w:basedOn w:val="Normal"/>
    <w:next w:val="Normal"/>
    <w:autoRedefine/>
    <w:uiPriority w:val="39"/>
    <w:unhideWhenUsed/>
    <w:rsid w:val="007A5A4B"/>
    <w:pPr>
      <w:spacing w:after="0"/>
      <w:ind w:left="220"/>
    </w:pPr>
    <w:rPr>
      <w:rFonts w:asciiTheme="minorHAnsi" w:hAnsiTheme="minorHAnsi"/>
      <w:smallCaps/>
    </w:rPr>
  </w:style>
  <w:style w:type="paragraph" w:styleId="TOC3">
    <w:name w:val="toc 3"/>
    <w:basedOn w:val="Normal"/>
    <w:next w:val="Normal"/>
    <w:autoRedefine/>
    <w:uiPriority w:val="39"/>
    <w:unhideWhenUsed/>
    <w:rsid w:val="007A5A4B"/>
    <w:pPr>
      <w:spacing w:after="0"/>
      <w:ind w:left="440"/>
    </w:pPr>
    <w:rPr>
      <w:rFonts w:asciiTheme="minorHAnsi" w:hAnsiTheme="minorHAnsi"/>
      <w:i/>
    </w:rPr>
  </w:style>
  <w:style w:type="paragraph" w:styleId="TOC4">
    <w:name w:val="toc 4"/>
    <w:basedOn w:val="Normal"/>
    <w:next w:val="Normal"/>
    <w:autoRedefine/>
    <w:uiPriority w:val="39"/>
    <w:unhideWhenUsed/>
    <w:rsid w:val="007A5A4B"/>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7A5A4B"/>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7A5A4B"/>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7A5A4B"/>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7A5A4B"/>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7A5A4B"/>
    <w:pPr>
      <w:spacing w:after="0"/>
      <w:ind w:left="1760"/>
    </w:pPr>
    <w:rPr>
      <w:rFonts w:asciiTheme="minorHAnsi" w:hAnsiTheme="minorHAnsi"/>
      <w:sz w:val="18"/>
      <w:szCs w:val="18"/>
    </w:rPr>
  </w:style>
  <w:style w:type="paragraph" w:styleId="NormalWeb">
    <w:name w:val="Normal (Web)"/>
    <w:basedOn w:val="Normal"/>
    <w:uiPriority w:val="99"/>
    <w:rsid w:val="007A5A4B"/>
    <w:pPr>
      <w:spacing w:beforeLines="1" w:afterLines="1" w:line="240" w:lineRule="auto"/>
    </w:pPr>
    <w:rPr>
      <w:rFonts w:ascii="Times" w:eastAsiaTheme="minorHAnsi" w:hAnsi="Times"/>
      <w:sz w:val="20"/>
      <w:szCs w:val="20"/>
    </w:rPr>
  </w:style>
  <w:style w:type="character" w:styleId="CommentReference">
    <w:name w:val="annotation reference"/>
    <w:basedOn w:val="DefaultParagraphFont"/>
    <w:rsid w:val="007A5A4B"/>
    <w:rPr>
      <w:sz w:val="16"/>
      <w:szCs w:val="16"/>
    </w:rPr>
  </w:style>
  <w:style w:type="paragraph" w:styleId="CommentText">
    <w:name w:val="annotation text"/>
    <w:basedOn w:val="Normal"/>
    <w:link w:val="CommentTextChar"/>
    <w:rsid w:val="007A5A4B"/>
    <w:pPr>
      <w:spacing w:line="240" w:lineRule="auto"/>
    </w:pPr>
    <w:rPr>
      <w:sz w:val="20"/>
      <w:szCs w:val="20"/>
    </w:rPr>
  </w:style>
  <w:style w:type="character" w:customStyle="1" w:styleId="CommentTextChar">
    <w:name w:val="Comment Text Char"/>
    <w:basedOn w:val="DefaultParagraphFont"/>
    <w:link w:val="CommentText"/>
    <w:rsid w:val="007A5A4B"/>
    <w:rPr>
      <w:rFonts w:ascii="Calibri" w:eastAsia="Calibri" w:hAnsi="Calibri" w:cs="Times New Roman"/>
      <w:sz w:val="20"/>
      <w:szCs w:val="20"/>
    </w:rPr>
  </w:style>
  <w:style w:type="paragraph" w:styleId="CommentSubject">
    <w:name w:val="annotation subject"/>
    <w:basedOn w:val="CommentText"/>
    <w:next w:val="CommentText"/>
    <w:link w:val="CommentSubjectChar"/>
    <w:rsid w:val="007A5A4B"/>
    <w:rPr>
      <w:b/>
      <w:bCs/>
    </w:rPr>
  </w:style>
  <w:style w:type="character" w:customStyle="1" w:styleId="CommentSubjectChar">
    <w:name w:val="Comment Subject Char"/>
    <w:basedOn w:val="CommentTextChar"/>
    <w:link w:val="CommentSubject"/>
    <w:rsid w:val="007A5A4B"/>
    <w:rPr>
      <w:rFonts w:ascii="Calibri" w:eastAsia="Calibri" w:hAnsi="Calibri" w:cs="Times New Roman"/>
      <w:b/>
      <w:bCs/>
      <w:sz w:val="20"/>
      <w:szCs w:val="20"/>
    </w:rPr>
  </w:style>
  <w:style w:type="table" w:styleId="TableGrid">
    <w:name w:val="Table Grid"/>
    <w:basedOn w:val="TableNormal"/>
    <w:uiPriority w:val="59"/>
    <w:rsid w:val="00F31D7C"/>
    <w:rPr>
      <w:sz w:val="22"/>
      <w:szCs w:val="22"/>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720471">
      <w:bodyDiv w:val="1"/>
      <w:marLeft w:val="0"/>
      <w:marRight w:val="0"/>
      <w:marTop w:val="0"/>
      <w:marBottom w:val="0"/>
      <w:divBdr>
        <w:top w:val="none" w:sz="0" w:space="0" w:color="auto"/>
        <w:left w:val="none" w:sz="0" w:space="0" w:color="auto"/>
        <w:bottom w:val="none" w:sz="0" w:space="0" w:color="auto"/>
        <w:right w:val="none" w:sz="0" w:space="0" w:color="auto"/>
      </w:divBdr>
      <w:divsChild>
        <w:div w:id="1978755747">
          <w:marLeft w:val="720"/>
          <w:marRight w:val="0"/>
          <w:marTop w:val="0"/>
          <w:marBottom w:val="0"/>
          <w:divBdr>
            <w:top w:val="none" w:sz="0" w:space="0" w:color="auto"/>
            <w:left w:val="none" w:sz="0" w:space="0" w:color="auto"/>
            <w:bottom w:val="none" w:sz="0" w:space="0" w:color="auto"/>
            <w:right w:val="none" w:sz="0" w:space="0" w:color="auto"/>
          </w:divBdr>
        </w:div>
        <w:div w:id="645159814">
          <w:marLeft w:val="720"/>
          <w:marRight w:val="0"/>
          <w:marTop w:val="0"/>
          <w:marBottom w:val="0"/>
          <w:divBdr>
            <w:top w:val="none" w:sz="0" w:space="0" w:color="auto"/>
            <w:left w:val="none" w:sz="0" w:space="0" w:color="auto"/>
            <w:bottom w:val="none" w:sz="0" w:space="0" w:color="auto"/>
            <w:right w:val="none" w:sz="0" w:space="0" w:color="auto"/>
          </w:divBdr>
        </w:div>
        <w:div w:id="1114129702">
          <w:marLeft w:val="720"/>
          <w:marRight w:val="0"/>
          <w:marTop w:val="0"/>
          <w:marBottom w:val="0"/>
          <w:divBdr>
            <w:top w:val="none" w:sz="0" w:space="0" w:color="auto"/>
            <w:left w:val="none" w:sz="0" w:space="0" w:color="auto"/>
            <w:bottom w:val="none" w:sz="0" w:space="0" w:color="auto"/>
            <w:right w:val="none" w:sz="0" w:space="0" w:color="auto"/>
          </w:divBdr>
        </w:div>
      </w:divsChild>
    </w:div>
    <w:div w:id="1652519188">
      <w:bodyDiv w:val="1"/>
      <w:marLeft w:val="0"/>
      <w:marRight w:val="0"/>
      <w:marTop w:val="0"/>
      <w:marBottom w:val="0"/>
      <w:divBdr>
        <w:top w:val="none" w:sz="0" w:space="0" w:color="auto"/>
        <w:left w:val="none" w:sz="0" w:space="0" w:color="auto"/>
        <w:bottom w:val="none" w:sz="0" w:space="0" w:color="auto"/>
        <w:right w:val="none" w:sz="0" w:space="0" w:color="auto"/>
      </w:divBdr>
      <w:divsChild>
        <w:div w:id="437408415">
          <w:marLeft w:val="720"/>
          <w:marRight w:val="0"/>
          <w:marTop w:val="0"/>
          <w:marBottom w:val="0"/>
          <w:divBdr>
            <w:top w:val="none" w:sz="0" w:space="0" w:color="auto"/>
            <w:left w:val="none" w:sz="0" w:space="0" w:color="auto"/>
            <w:bottom w:val="none" w:sz="0" w:space="0" w:color="auto"/>
            <w:right w:val="none" w:sz="0" w:space="0" w:color="auto"/>
          </w:divBdr>
        </w:div>
        <w:div w:id="928388674">
          <w:marLeft w:val="720"/>
          <w:marRight w:val="0"/>
          <w:marTop w:val="0"/>
          <w:marBottom w:val="0"/>
          <w:divBdr>
            <w:top w:val="none" w:sz="0" w:space="0" w:color="auto"/>
            <w:left w:val="none" w:sz="0" w:space="0" w:color="auto"/>
            <w:bottom w:val="none" w:sz="0" w:space="0" w:color="auto"/>
            <w:right w:val="none" w:sz="0" w:space="0" w:color="auto"/>
          </w:divBdr>
        </w:div>
        <w:div w:id="2088528976">
          <w:marLeft w:val="720"/>
          <w:marRight w:val="0"/>
          <w:marTop w:val="0"/>
          <w:marBottom w:val="0"/>
          <w:divBdr>
            <w:top w:val="none" w:sz="0" w:space="0" w:color="auto"/>
            <w:left w:val="none" w:sz="0" w:space="0" w:color="auto"/>
            <w:bottom w:val="none" w:sz="0" w:space="0" w:color="auto"/>
            <w:right w:val="none" w:sz="0" w:space="0" w:color="auto"/>
          </w:divBdr>
        </w:div>
        <w:div w:id="1640845386">
          <w:marLeft w:val="720"/>
          <w:marRight w:val="0"/>
          <w:marTop w:val="0"/>
          <w:marBottom w:val="0"/>
          <w:divBdr>
            <w:top w:val="none" w:sz="0" w:space="0" w:color="auto"/>
            <w:left w:val="none" w:sz="0" w:space="0" w:color="auto"/>
            <w:bottom w:val="none" w:sz="0" w:space="0" w:color="auto"/>
            <w:right w:val="none" w:sz="0" w:space="0" w:color="auto"/>
          </w:divBdr>
        </w:div>
        <w:div w:id="1335719343">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964A-327A-45F2-83B4-E3F3FDFC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1471</Words>
  <Characters>8387</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Is healthy food on the table in northern Manitoba?: Food Security Statistics</vt:lpstr>
      <vt:lpstr>Lack of Healthy Food In the Midst of Plenty: The Food Security Crisis in Norther</vt:lpstr>
      <vt:lpstr>Summary</vt:lpstr>
      <vt:lpstr>        Methods</vt:lpstr>
    </vt:vector>
  </TitlesOfParts>
  <Manager/>
  <Company>White Buffalo Reiki</Company>
  <LinksUpToDate>false</LinksUpToDate>
  <CharactersWithSpaces>9839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healthy food on the table in northern Manitoba?: Food Security Statistics</dc:title>
  <dc:subject/>
  <dc:creator>Shirley Thompson, Mariah Mailman</dc:creator>
  <cp:keywords/>
  <dc:description/>
  <cp:lastModifiedBy>GTC</cp:lastModifiedBy>
  <cp:revision>3</cp:revision>
  <dcterms:created xsi:type="dcterms:W3CDTF">2010-06-26T15:59:00Z</dcterms:created>
  <dcterms:modified xsi:type="dcterms:W3CDTF">2010-06-27T23:29:00Z</dcterms:modified>
  <cp:category/>
</cp:coreProperties>
</file>